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00BAD" w14:textId="4FE53866" w:rsidR="00DA5447" w:rsidRPr="00F04C1A" w:rsidRDefault="0041481A" w:rsidP="005C08C7">
      <w:pPr>
        <w:jc w:val="center"/>
        <w:outlineLvl w:val="0"/>
        <w:rPr>
          <w:b/>
          <w:bCs/>
          <w:sz w:val="22"/>
          <w:szCs w:val="22"/>
        </w:rPr>
      </w:pPr>
      <w:r w:rsidRPr="00F04C1A">
        <w:rPr>
          <w:b/>
          <w:bCs/>
          <w:sz w:val="22"/>
          <w:szCs w:val="22"/>
        </w:rPr>
        <w:t>Zestawienie uwag</w:t>
      </w:r>
      <w:r w:rsidR="00DA5447" w:rsidRPr="00F04C1A">
        <w:rPr>
          <w:b/>
          <w:bCs/>
          <w:sz w:val="22"/>
          <w:szCs w:val="22"/>
        </w:rPr>
        <w:t xml:space="preserve"> </w:t>
      </w:r>
      <w:r w:rsidR="003D6479" w:rsidRPr="00F04C1A">
        <w:rPr>
          <w:b/>
          <w:bCs/>
          <w:sz w:val="22"/>
          <w:szCs w:val="22"/>
        </w:rPr>
        <w:t xml:space="preserve">z </w:t>
      </w:r>
      <w:r w:rsidR="00E8746D" w:rsidRPr="00F04C1A">
        <w:rPr>
          <w:b/>
          <w:bCs/>
          <w:sz w:val="22"/>
          <w:szCs w:val="22"/>
        </w:rPr>
        <w:t xml:space="preserve">opiniowania </w:t>
      </w:r>
      <w:r w:rsidR="00F04C1A" w:rsidRPr="00F04C1A">
        <w:rPr>
          <w:b/>
          <w:bCs/>
          <w:sz w:val="22"/>
          <w:szCs w:val="22"/>
        </w:rPr>
        <w:t>projektu ustawy o działalności windykacyjnej i zawodzie windykatora (UD435)</w:t>
      </w:r>
    </w:p>
    <w:p w14:paraId="672A6659" w14:textId="77777777" w:rsidR="00DA5447" w:rsidRPr="007749DD" w:rsidRDefault="00DA5447" w:rsidP="005C08C7">
      <w:pPr>
        <w:rPr>
          <w:sz w:val="22"/>
          <w:szCs w:val="22"/>
        </w:rPr>
      </w:pPr>
    </w:p>
    <w:tbl>
      <w:tblPr>
        <w:tblW w:w="14393" w:type="dxa"/>
        <w:jc w:val="center"/>
        <w:tblLayout w:type="fixed"/>
        <w:tblCellMar>
          <w:top w:w="113" w:type="dxa"/>
          <w:left w:w="113" w:type="dxa"/>
          <w:right w:w="113" w:type="dxa"/>
        </w:tblCellMar>
        <w:tblLook w:val="0000" w:firstRow="0" w:lastRow="0" w:firstColumn="0" w:lastColumn="0" w:noHBand="0" w:noVBand="0"/>
      </w:tblPr>
      <w:tblGrid>
        <w:gridCol w:w="704"/>
        <w:gridCol w:w="768"/>
        <w:gridCol w:w="933"/>
        <w:gridCol w:w="7938"/>
        <w:gridCol w:w="4050"/>
      </w:tblGrid>
      <w:tr w:rsidR="00A82C5F" w:rsidRPr="007749DD" w14:paraId="06EBB65D" w14:textId="77777777" w:rsidTr="00873465">
        <w:trPr>
          <w:trHeight w:val="1675"/>
          <w:jc w:val="center"/>
        </w:trPr>
        <w:tc>
          <w:tcPr>
            <w:tcW w:w="704" w:type="dxa"/>
            <w:tcBorders>
              <w:top w:val="single" w:sz="4" w:space="0" w:color="000000" w:themeColor="text1"/>
              <w:left w:val="single" w:sz="4" w:space="0" w:color="000000" w:themeColor="text1"/>
              <w:bottom w:val="single" w:sz="4" w:space="0" w:color="auto"/>
            </w:tcBorders>
          </w:tcPr>
          <w:p w14:paraId="5F0827F5" w14:textId="4367161F" w:rsidR="00BE25AE" w:rsidRPr="007749DD" w:rsidRDefault="4941F361" w:rsidP="7993FA24">
            <w:pPr>
              <w:jc w:val="center"/>
              <w:rPr>
                <w:b/>
                <w:bCs/>
                <w:sz w:val="22"/>
                <w:szCs w:val="22"/>
                <w:lang w:eastAsia="pl-PL"/>
              </w:rPr>
            </w:pPr>
            <w:r w:rsidRPr="007749DD">
              <w:rPr>
                <w:b/>
                <w:bCs/>
                <w:sz w:val="22"/>
                <w:szCs w:val="22"/>
              </w:rPr>
              <w:t>Lp.</w:t>
            </w:r>
          </w:p>
        </w:tc>
        <w:tc>
          <w:tcPr>
            <w:tcW w:w="768" w:type="dxa"/>
            <w:tcBorders>
              <w:top w:val="single" w:sz="4" w:space="0" w:color="000000" w:themeColor="text1"/>
              <w:left w:val="single" w:sz="4" w:space="0" w:color="000000" w:themeColor="text1"/>
              <w:bottom w:val="single" w:sz="4" w:space="0" w:color="auto"/>
            </w:tcBorders>
            <w:vAlign w:val="center"/>
          </w:tcPr>
          <w:p w14:paraId="51111896" w14:textId="7C1FB68D" w:rsidR="00BE25AE" w:rsidRPr="007749DD" w:rsidRDefault="00BC30AD" w:rsidP="7993FA24">
            <w:pPr>
              <w:snapToGrid w:val="0"/>
              <w:jc w:val="center"/>
              <w:rPr>
                <w:b/>
                <w:bCs/>
                <w:sz w:val="22"/>
                <w:szCs w:val="22"/>
              </w:rPr>
            </w:pPr>
            <w:r w:rsidRPr="007749DD">
              <w:rPr>
                <w:b/>
                <w:bCs/>
                <w:sz w:val="22"/>
                <w:szCs w:val="22"/>
              </w:rPr>
              <w:t>Przepis</w:t>
            </w:r>
            <w:r w:rsidR="4941F361" w:rsidRPr="007749DD">
              <w:rPr>
                <w:b/>
                <w:bCs/>
                <w:sz w:val="22"/>
                <w:szCs w:val="22"/>
              </w:rPr>
              <w:t xml:space="preserve"> </w:t>
            </w:r>
          </w:p>
        </w:tc>
        <w:tc>
          <w:tcPr>
            <w:tcW w:w="933" w:type="dxa"/>
            <w:tcBorders>
              <w:top w:val="single" w:sz="4" w:space="0" w:color="000000" w:themeColor="text1"/>
              <w:left w:val="single" w:sz="4" w:space="0" w:color="000000" w:themeColor="text1"/>
              <w:bottom w:val="single" w:sz="4" w:space="0" w:color="auto"/>
            </w:tcBorders>
            <w:vAlign w:val="center"/>
          </w:tcPr>
          <w:p w14:paraId="6A08F9C7" w14:textId="6B267336" w:rsidR="00BE25AE" w:rsidRPr="007749DD" w:rsidRDefault="4941F361" w:rsidP="7993FA24">
            <w:pPr>
              <w:snapToGrid w:val="0"/>
              <w:jc w:val="center"/>
              <w:rPr>
                <w:b/>
                <w:bCs/>
                <w:sz w:val="22"/>
                <w:szCs w:val="22"/>
              </w:rPr>
            </w:pPr>
            <w:r w:rsidRPr="007749DD">
              <w:rPr>
                <w:b/>
                <w:bCs/>
                <w:sz w:val="22"/>
                <w:szCs w:val="22"/>
              </w:rPr>
              <w:t xml:space="preserve">Podmiot </w:t>
            </w:r>
          </w:p>
        </w:tc>
        <w:tc>
          <w:tcPr>
            <w:tcW w:w="7938" w:type="dxa"/>
            <w:tcBorders>
              <w:top w:val="single" w:sz="4" w:space="0" w:color="000000" w:themeColor="text1"/>
              <w:left w:val="single" w:sz="4" w:space="0" w:color="000000" w:themeColor="text1"/>
              <w:bottom w:val="single" w:sz="4" w:space="0" w:color="auto"/>
            </w:tcBorders>
            <w:vAlign w:val="center"/>
          </w:tcPr>
          <w:p w14:paraId="0BFC27EE" w14:textId="1ACEAE65" w:rsidR="00BE25AE" w:rsidRPr="007749DD" w:rsidRDefault="00BE25AE" w:rsidP="00165AA1">
            <w:pPr>
              <w:jc w:val="center"/>
              <w:rPr>
                <w:b/>
                <w:sz w:val="22"/>
                <w:szCs w:val="22"/>
              </w:rPr>
            </w:pPr>
            <w:r w:rsidRPr="007749DD">
              <w:rPr>
                <w:b/>
                <w:sz w:val="22"/>
                <w:szCs w:val="22"/>
              </w:rPr>
              <w:t>Treść uwagi</w:t>
            </w:r>
            <w:r w:rsidR="007021C6">
              <w:rPr>
                <w:b/>
                <w:sz w:val="22"/>
                <w:szCs w:val="22"/>
              </w:rPr>
              <w:t xml:space="preserve">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6A05A809" w14:textId="77777777" w:rsidR="00BE25AE" w:rsidRPr="007749DD" w:rsidRDefault="00BE25AE" w:rsidP="00165AA1">
            <w:pPr>
              <w:snapToGrid w:val="0"/>
              <w:jc w:val="center"/>
              <w:rPr>
                <w:b/>
                <w:bCs/>
                <w:sz w:val="22"/>
                <w:szCs w:val="22"/>
              </w:rPr>
            </w:pPr>
          </w:p>
          <w:p w14:paraId="5A39BBE3" w14:textId="77777777" w:rsidR="00BE25AE" w:rsidRPr="007749DD" w:rsidRDefault="00BE25AE" w:rsidP="00165AA1">
            <w:pPr>
              <w:snapToGrid w:val="0"/>
              <w:jc w:val="center"/>
              <w:rPr>
                <w:b/>
                <w:bCs/>
                <w:sz w:val="22"/>
                <w:szCs w:val="22"/>
              </w:rPr>
            </w:pPr>
          </w:p>
          <w:p w14:paraId="41C8F396" w14:textId="77777777" w:rsidR="00BE25AE" w:rsidRPr="007749DD" w:rsidRDefault="00BE25AE" w:rsidP="00165AA1">
            <w:pPr>
              <w:snapToGrid w:val="0"/>
              <w:jc w:val="center"/>
              <w:rPr>
                <w:b/>
                <w:bCs/>
                <w:sz w:val="22"/>
                <w:szCs w:val="22"/>
              </w:rPr>
            </w:pPr>
          </w:p>
          <w:p w14:paraId="385179BC" w14:textId="77777777" w:rsidR="00BE25AE" w:rsidRPr="007749DD" w:rsidRDefault="00BE25AE" w:rsidP="00165AA1">
            <w:pPr>
              <w:snapToGrid w:val="0"/>
              <w:jc w:val="center"/>
              <w:rPr>
                <w:b/>
                <w:bCs/>
                <w:sz w:val="22"/>
                <w:szCs w:val="22"/>
              </w:rPr>
            </w:pPr>
            <w:r w:rsidRPr="007749DD">
              <w:rPr>
                <w:b/>
                <w:bCs/>
                <w:sz w:val="22"/>
                <w:szCs w:val="22"/>
              </w:rPr>
              <w:t>Stanowisko</w:t>
            </w:r>
          </w:p>
        </w:tc>
      </w:tr>
      <w:tr w:rsidR="00A82C5F" w:rsidRPr="007749DD" w14:paraId="07D39E85" w14:textId="77777777" w:rsidTr="55D0ADF2">
        <w:trPr>
          <w:trHeight w:val="413"/>
          <w:jc w:val="center"/>
        </w:trPr>
        <w:tc>
          <w:tcPr>
            <w:tcW w:w="14393" w:type="dxa"/>
            <w:gridSpan w:val="5"/>
            <w:tcBorders>
              <w:top w:val="single" w:sz="4" w:space="0" w:color="000000" w:themeColor="text1"/>
              <w:left w:val="single" w:sz="4" w:space="0" w:color="000000" w:themeColor="text1"/>
              <w:bottom w:val="single" w:sz="4" w:space="0" w:color="auto"/>
              <w:right w:val="single" w:sz="4" w:space="0" w:color="000000" w:themeColor="text1"/>
            </w:tcBorders>
            <w:shd w:val="clear" w:color="auto" w:fill="B4C6E7" w:themeFill="accent5" w:themeFillTint="66"/>
          </w:tcPr>
          <w:p w14:paraId="35BA3E46" w14:textId="785FCC92" w:rsidR="00BE25AE" w:rsidRPr="007749DD" w:rsidRDefault="00BE25AE" w:rsidP="00EE7266">
            <w:pPr>
              <w:snapToGrid w:val="0"/>
              <w:jc w:val="both"/>
              <w:rPr>
                <w:b/>
                <w:bCs/>
                <w:sz w:val="22"/>
                <w:szCs w:val="22"/>
              </w:rPr>
            </w:pPr>
          </w:p>
        </w:tc>
      </w:tr>
      <w:tr w:rsidR="00A82C5F" w:rsidRPr="007749DD" w14:paraId="2D8C6ECB" w14:textId="77777777" w:rsidTr="00873465">
        <w:trPr>
          <w:trHeight w:val="276"/>
          <w:jc w:val="center"/>
        </w:trPr>
        <w:tc>
          <w:tcPr>
            <w:tcW w:w="704" w:type="dxa"/>
            <w:tcBorders>
              <w:top w:val="single" w:sz="4" w:space="0" w:color="000000" w:themeColor="text1"/>
              <w:left w:val="single" w:sz="4" w:space="0" w:color="000000" w:themeColor="text1"/>
              <w:bottom w:val="single" w:sz="4" w:space="0" w:color="auto"/>
            </w:tcBorders>
          </w:tcPr>
          <w:p w14:paraId="595CEEC6" w14:textId="7B2B70EE" w:rsidR="00C07955" w:rsidRPr="00CA4923" w:rsidRDefault="00C07955"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auto"/>
            </w:tcBorders>
            <w:vAlign w:val="center"/>
          </w:tcPr>
          <w:p w14:paraId="5D40FB9E" w14:textId="0170E05A" w:rsidR="00C07955" w:rsidRPr="00AC64BA" w:rsidRDefault="00B74E81" w:rsidP="00AC64BA">
            <w:pPr>
              <w:snapToGrid w:val="0"/>
              <w:jc w:val="both"/>
              <w:rPr>
                <w:sz w:val="22"/>
                <w:szCs w:val="22"/>
              </w:rPr>
            </w:pPr>
            <w:r w:rsidRPr="00AC64BA">
              <w:rPr>
                <w:sz w:val="22"/>
                <w:szCs w:val="22"/>
              </w:rPr>
              <w:t>Art. 2</w:t>
            </w:r>
          </w:p>
        </w:tc>
        <w:tc>
          <w:tcPr>
            <w:tcW w:w="933" w:type="dxa"/>
            <w:tcBorders>
              <w:top w:val="single" w:sz="4" w:space="0" w:color="000000" w:themeColor="text1"/>
              <w:left w:val="single" w:sz="4" w:space="0" w:color="000000" w:themeColor="text1"/>
              <w:bottom w:val="single" w:sz="4" w:space="0" w:color="auto"/>
            </w:tcBorders>
            <w:vAlign w:val="center"/>
          </w:tcPr>
          <w:p w14:paraId="50083E8E" w14:textId="1C6279E5" w:rsidR="0DB5AB6D" w:rsidRDefault="0DB5AB6D" w:rsidP="0DB5AB6D">
            <w:pPr>
              <w:jc w:val="both"/>
              <w:rPr>
                <w:sz w:val="22"/>
                <w:szCs w:val="22"/>
              </w:rPr>
            </w:pPr>
          </w:p>
          <w:p w14:paraId="110B7411" w14:textId="7DAD8904" w:rsidR="5918D608" w:rsidRDefault="5918D608" w:rsidP="0DB5AB6D">
            <w:pPr>
              <w:jc w:val="both"/>
              <w:rPr>
                <w:sz w:val="22"/>
                <w:szCs w:val="22"/>
              </w:rPr>
            </w:pPr>
            <w:r w:rsidRPr="0DB5AB6D">
              <w:rPr>
                <w:sz w:val="22"/>
                <w:szCs w:val="22"/>
              </w:rPr>
              <w:t>Kasa Rolniczego Ubezpieczenia Społecznego</w:t>
            </w:r>
          </w:p>
          <w:p w14:paraId="6E311BD2" w14:textId="35728D11" w:rsidR="0DB5AB6D" w:rsidRDefault="0DB5AB6D" w:rsidP="0DB5AB6D">
            <w:pPr>
              <w:jc w:val="both"/>
              <w:rPr>
                <w:sz w:val="22"/>
                <w:szCs w:val="22"/>
              </w:rPr>
            </w:pPr>
          </w:p>
          <w:p w14:paraId="2101C680" w14:textId="15B45F68" w:rsidR="00C07955" w:rsidRPr="00AC64BA" w:rsidRDefault="5918D608" w:rsidP="00AC64BA">
            <w:pPr>
              <w:snapToGrid w:val="0"/>
              <w:jc w:val="both"/>
              <w:rPr>
                <w:sz w:val="22"/>
                <w:szCs w:val="22"/>
              </w:rPr>
            </w:pPr>
            <w:r w:rsidRPr="0DB5AB6D">
              <w:rPr>
                <w:sz w:val="22"/>
                <w:szCs w:val="22"/>
              </w:rPr>
              <w:t>(</w:t>
            </w:r>
            <w:r w:rsidR="002D6DF3" w:rsidRPr="0DB5AB6D">
              <w:rPr>
                <w:sz w:val="22"/>
                <w:szCs w:val="22"/>
              </w:rPr>
              <w:t>KRU</w:t>
            </w:r>
            <w:r w:rsidR="2B6E2271" w:rsidRPr="0DB5AB6D">
              <w:rPr>
                <w:sz w:val="22"/>
                <w:szCs w:val="22"/>
              </w:rPr>
              <w:t>S)</w:t>
            </w:r>
          </w:p>
        </w:tc>
        <w:tc>
          <w:tcPr>
            <w:tcW w:w="7938" w:type="dxa"/>
            <w:tcBorders>
              <w:top w:val="single" w:sz="4" w:space="0" w:color="000000" w:themeColor="text1"/>
              <w:left w:val="single" w:sz="4" w:space="0" w:color="000000" w:themeColor="text1"/>
              <w:bottom w:val="single" w:sz="4" w:space="0" w:color="auto"/>
            </w:tcBorders>
            <w:vAlign w:val="center"/>
          </w:tcPr>
          <w:p w14:paraId="5C28D7C4" w14:textId="3693F001" w:rsidR="00C07955" w:rsidRPr="0078357D" w:rsidRDefault="00141CCD" w:rsidP="00AC64BA">
            <w:pPr>
              <w:jc w:val="both"/>
              <w:rPr>
                <w:sz w:val="22"/>
                <w:szCs w:val="22"/>
              </w:rPr>
            </w:pPr>
            <w:r w:rsidRPr="0078357D">
              <w:rPr>
                <w:sz w:val="22"/>
                <w:szCs w:val="22"/>
              </w:rPr>
              <w:t xml:space="preserve"> </w:t>
            </w:r>
            <w:r w:rsidR="00B74E81" w:rsidRPr="0078357D">
              <w:rPr>
                <w:rFonts w:eastAsia="Times New Roman"/>
                <w:b/>
                <w:bCs/>
                <w:sz w:val="22"/>
                <w:szCs w:val="22"/>
                <w:lang w:eastAsia="pl-PL"/>
              </w:rPr>
              <w:t xml:space="preserve">Ad art. 2 ust. 1 projektu </w:t>
            </w:r>
            <w:r w:rsidR="00B74E81" w:rsidRPr="0078357D">
              <w:rPr>
                <w:rFonts w:eastAsia="Times New Roman"/>
                <w:sz w:val="22"/>
                <w:szCs w:val="22"/>
                <w:lang w:eastAsia="pl-PL"/>
              </w:rPr>
              <w:t xml:space="preserve">– </w:t>
            </w:r>
            <w:r w:rsidR="00676E35" w:rsidRPr="0078357D">
              <w:rPr>
                <w:rFonts w:eastAsia="Times New Roman"/>
                <w:sz w:val="22"/>
                <w:szCs w:val="22"/>
                <w:lang w:eastAsia="pl-PL"/>
              </w:rPr>
              <w:t xml:space="preserve">należy </w:t>
            </w:r>
            <w:r w:rsidR="00B74E81" w:rsidRPr="0078357D">
              <w:rPr>
                <w:rFonts w:eastAsia="Times New Roman"/>
                <w:sz w:val="22"/>
                <w:szCs w:val="22"/>
                <w:lang w:eastAsia="pl-PL"/>
              </w:rPr>
              <w:t>uzupełnić definicję użytych w ustawie sformułowań „wierzyciel”, „należność” oraz „zobowiązanie”</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B4E1591" w14:textId="0614FD51" w:rsidR="7022FA4A" w:rsidRPr="00565761" w:rsidRDefault="7022FA4A" w:rsidP="6FDCC930">
            <w:pPr>
              <w:jc w:val="both"/>
              <w:rPr>
                <w:b/>
                <w:bCs/>
                <w:sz w:val="22"/>
                <w:szCs w:val="22"/>
              </w:rPr>
            </w:pPr>
            <w:r w:rsidRPr="00565761">
              <w:rPr>
                <w:b/>
                <w:bCs/>
                <w:sz w:val="22"/>
                <w:szCs w:val="22"/>
              </w:rPr>
              <w:t>Nie uwzględniono.</w:t>
            </w:r>
          </w:p>
          <w:p w14:paraId="0EC8A6B0" w14:textId="75393EC3" w:rsidR="006D29A2" w:rsidRPr="00565761" w:rsidRDefault="3167EC5C" w:rsidP="33949D62">
            <w:pPr>
              <w:snapToGrid w:val="0"/>
              <w:jc w:val="both"/>
              <w:rPr>
                <w:rFonts w:eastAsia="Times New Roman"/>
                <w:sz w:val="22"/>
                <w:szCs w:val="22"/>
              </w:rPr>
            </w:pPr>
            <w:r w:rsidRPr="00565761">
              <w:rPr>
                <w:rFonts w:eastAsia="Times New Roman"/>
                <w:sz w:val="22"/>
                <w:szCs w:val="22"/>
              </w:rPr>
              <w:t>Uwaga niezasadna</w:t>
            </w:r>
            <w:r w:rsidR="40DEDE7E" w:rsidRPr="00565761">
              <w:rPr>
                <w:rFonts w:eastAsia="Times New Roman"/>
                <w:sz w:val="22"/>
                <w:szCs w:val="22"/>
              </w:rPr>
              <w:t xml:space="preserve"> pojęcia </w:t>
            </w:r>
            <w:r w:rsidR="60DA083B" w:rsidRPr="00565761">
              <w:rPr>
                <w:rFonts w:eastAsia="Times New Roman"/>
                <w:sz w:val="22"/>
                <w:szCs w:val="22"/>
              </w:rPr>
              <w:t>funkcjonują</w:t>
            </w:r>
            <w:r w:rsidR="40DEDE7E" w:rsidRPr="00565761">
              <w:rPr>
                <w:rFonts w:eastAsia="Times New Roman"/>
                <w:sz w:val="22"/>
                <w:szCs w:val="22"/>
              </w:rPr>
              <w:t xml:space="preserve"> w systemie prawa. </w:t>
            </w:r>
          </w:p>
          <w:p w14:paraId="6E0A338E" w14:textId="4A153CF2" w:rsidR="006D29A2" w:rsidRPr="00565761" w:rsidRDefault="006D29A2" w:rsidP="33949D62">
            <w:pPr>
              <w:snapToGrid w:val="0"/>
              <w:rPr>
                <w:sz w:val="22"/>
                <w:szCs w:val="22"/>
              </w:rPr>
            </w:pPr>
          </w:p>
          <w:p w14:paraId="25EA6E0B" w14:textId="22172CCC" w:rsidR="00286BB7" w:rsidRPr="007749DD" w:rsidRDefault="00286BB7" w:rsidP="33949D62">
            <w:pPr>
              <w:snapToGrid w:val="0"/>
              <w:rPr>
                <w:color w:val="FF0000"/>
                <w:sz w:val="22"/>
                <w:szCs w:val="22"/>
              </w:rPr>
            </w:pPr>
          </w:p>
        </w:tc>
      </w:tr>
      <w:tr w:rsidR="00B74E81" w:rsidRPr="007749DD" w14:paraId="55A1DC63" w14:textId="77777777" w:rsidTr="00873465">
        <w:trPr>
          <w:trHeight w:val="276"/>
          <w:jc w:val="center"/>
        </w:trPr>
        <w:tc>
          <w:tcPr>
            <w:tcW w:w="704" w:type="dxa"/>
            <w:tcBorders>
              <w:top w:val="single" w:sz="4" w:space="0" w:color="000000" w:themeColor="text1"/>
              <w:left w:val="single" w:sz="4" w:space="0" w:color="000000" w:themeColor="text1"/>
              <w:bottom w:val="single" w:sz="4" w:space="0" w:color="auto"/>
            </w:tcBorders>
          </w:tcPr>
          <w:p w14:paraId="15C9D969" w14:textId="1735A80C" w:rsidR="00B74E81" w:rsidRPr="00CA4923" w:rsidRDefault="00B74E81"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auto"/>
            </w:tcBorders>
            <w:vAlign w:val="center"/>
          </w:tcPr>
          <w:p w14:paraId="7BA64537" w14:textId="0E9B4828" w:rsidR="00B74E81" w:rsidRPr="00AC64BA" w:rsidRDefault="00B51E1C" w:rsidP="00AC64BA">
            <w:pPr>
              <w:snapToGrid w:val="0"/>
              <w:jc w:val="both"/>
              <w:rPr>
                <w:sz w:val="22"/>
                <w:szCs w:val="22"/>
              </w:rPr>
            </w:pPr>
            <w:r w:rsidRPr="00AC64BA">
              <w:rPr>
                <w:sz w:val="22"/>
                <w:szCs w:val="22"/>
              </w:rPr>
              <w:t>A</w:t>
            </w:r>
            <w:r w:rsidR="00B74E81" w:rsidRPr="00AC64BA">
              <w:rPr>
                <w:sz w:val="22"/>
                <w:szCs w:val="22"/>
              </w:rPr>
              <w:t xml:space="preserve">rt. 13 ust. 1 </w:t>
            </w:r>
          </w:p>
        </w:tc>
        <w:tc>
          <w:tcPr>
            <w:tcW w:w="933" w:type="dxa"/>
            <w:tcBorders>
              <w:top w:val="single" w:sz="4" w:space="0" w:color="000000" w:themeColor="text1"/>
              <w:left w:val="single" w:sz="4" w:space="0" w:color="000000" w:themeColor="text1"/>
              <w:bottom w:val="single" w:sz="4" w:space="0" w:color="auto"/>
            </w:tcBorders>
            <w:vAlign w:val="center"/>
          </w:tcPr>
          <w:p w14:paraId="34BA5866" w14:textId="5AABD822" w:rsidR="00B74E81" w:rsidRPr="00AC64BA" w:rsidRDefault="00B74E81" w:rsidP="00AC64BA">
            <w:pPr>
              <w:snapToGrid w:val="0"/>
              <w:jc w:val="both"/>
              <w:rPr>
                <w:sz w:val="22"/>
                <w:szCs w:val="22"/>
              </w:rPr>
            </w:pPr>
            <w:r w:rsidRPr="00AC64BA">
              <w:rPr>
                <w:sz w:val="22"/>
                <w:szCs w:val="22"/>
              </w:rPr>
              <w:t>KRUS</w:t>
            </w:r>
          </w:p>
        </w:tc>
        <w:tc>
          <w:tcPr>
            <w:tcW w:w="7938" w:type="dxa"/>
            <w:tcBorders>
              <w:top w:val="single" w:sz="4" w:space="0" w:color="000000" w:themeColor="text1"/>
              <w:left w:val="single" w:sz="4" w:space="0" w:color="000000" w:themeColor="text1"/>
              <w:bottom w:val="single" w:sz="4" w:space="0" w:color="auto"/>
            </w:tcBorders>
            <w:vAlign w:val="center"/>
          </w:tcPr>
          <w:p w14:paraId="6BDE1FFD" w14:textId="45C9CC48" w:rsidR="00B74E81" w:rsidRPr="0078357D" w:rsidRDefault="00B74E81" w:rsidP="00AC64BA">
            <w:pPr>
              <w:jc w:val="both"/>
              <w:rPr>
                <w:sz w:val="22"/>
                <w:szCs w:val="22"/>
              </w:rPr>
            </w:pPr>
            <w:r w:rsidRPr="0078357D">
              <w:rPr>
                <w:rFonts w:eastAsia="Times New Roman"/>
                <w:b/>
                <w:bCs/>
                <w:sz w:val="22"/>
                <w:szCs w:val="22"/>
                <w:lang w:eastAsia="pl-PL"/>
              </w:rPr>
              <w:t>Ad art. 13 ust. 1 projektu</w:t>
            </w:r>
            <w:r w:rsidRPr="0078357D">
              <w:rPr>
                <w:rFonts w:eastAsia="Times New Roman"/>
                <w:sz w:val="22"/>
                <w:szCs w:val="22"/>
                <w:lang w:eastAsia="pl-PL"/>
              </w:rPr>
              <w:t xml:space="preserve"> – po pkt 9 dodać pkt 10 w brzmieniu: „10) jeżeli nie jest obywatelem polskim posługuje się językiem polskim w sposób komunikatywny”</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066C265" w14:textId="0C0C1013" w:rsidR="00136193" w:rsidRPr="00565761" w:rsidRDefault="2722C82E" w:rsidP="00136193">
            <w:pPr>
              <w:rPr>
                <w:b/>
                <w:bCs/>
                <w:sz w:val="22"/>
                <w:szCs w:val="22"/>
              </w:rPr>
            </w:pPr>
            <w:r w:rsidRPr="00565761">
              <w:rPr>
                <w:b/>
                <w:bCs/>
                <w:sz w:val="22"/>
                <w:szCs w:val="22"/>
              </w:rPr>
              <w:t xml:space="preserve">Nie uwzględniono. </w:t>
            </w:r>
            <w:r w:rsidR="7A2106D8" w:rsidRPr="00565761">
              <w:rPr>
                <w:b/>
                <w:bCs/>
                <w:sz w:val="22"/>
                <w:szCs w:val="22"/>
              </w:rPr>
              <w:t xml:space="preserve"> </w:t>
            </w:r>
          </w:p>
          <w:p w14:paraId="437E0C12" w14:textId="4CDDAA05" w:rsidR="00B74E81" w:rsidRPr="00565761" w:rsidRDefault="00136193" w:rsidP="00565761">
            <w:pPr>
              <w:jc w:val="both"/>
              <w:rPr>
                <w:sz w:val="22"/>
                <w:szCs w:val="22"/>
              </w:rPr>
            </w:pPr>
            <w:r w:rsidRPr="00565761">
              <w:rPr>
                <w:sz w:val="22"/>
                <w:szCs w:val="22"/>
              </w:rPr>
              <w:t xml:space="preserve">Zakłada się, że na umowę o pracę będą zatrudniane osoby, z którymi pracodawca </w:t>
            </w:r>
            <w:r w:rsidR="00825693" w:rsidRPr="00565761">
              <w:rPr>
                <w:sz w:val="22"/>
                <w:szCs w:val="22"/>
              </w:rPr>
              <w:t xml:space="preserve">jak i osoba zobowiązana będą mogli porozumieć się w języku polskim. Te wymogi zatrudnienia będą wynikały z przyjętych regulacji i zasad ogólnych dotyczących obowiązku posługiwania się językiem polskim, iż dokumenty i informacje kierowane do innych osób powinny być sporządzane w języku polskim. </w:t>
            </w:r>
          </w:p>
        </w:tc>
      </w:tr>
      <w:tr w:rsidR="00B74E81" w:rsidRPr="007749DD" w14:paraId="7BCC724F" w14:textId="77777777" w:rsidTr="00873465">
        <w:trPr>
          <w:trHeight w:val="276"/>
          <w:jc w:val="center"/>
        </w:trPr>
        <w:tc>
          <w:tcPr>
            <w:tcW w:w="704" w:type="dxa"/>
            <w:tcBorders>
              <w:top w:val="single" w:sz="4" w:space="0" w:color="000000" w:themeColor="text1"/>
              <w:left w:val="single" w:sz="4" w:space="0" w:color="000000" w:themeColor="text1"/>
              <w:bottom w:val="single" w:sz="4" w:space="0" w:color="auto"/>
            </w:tcBorders>
          </w:tcPr>
          <w:p w14:paraId="3BED0886" w14:textId="46F4F193" w:rsidR="00B74E81" w:rsidRPr="00CA4923" w:rsidRDefault="00B74E81"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auto"/>
            </w:tcBorders>
            <w:vAlign w:val="center"/>
          </w:tcPr>
          <w:p w14:paraId="0F6CD4E0" w14:textId="361B3890" w:rsidR="00B74E81" w:rsidRPr="00AC64BA" w:rsidRDefault="00B74E81" w:rsidP="00AC64BA">
            <w:pPr>
              <w:snapToGrid w:val="0"/>
              <w:jc w:val="both"/>
              <w:rPr>
                <w:sz w:val="22"/>
                <w:szCs w:val="22"/>
              </w:rPr>
            </w:pPr>
            <w:r w:rsidRPr="00AC64BA">
              <w:rPr>
                <w:sz w:val="22"/>
                <w:szCs w:val="22"/>
              </w:rPr>
              <w:t>Rozdział 4</w:t>
            </w:r>
          </w:p>
        </w:tc>
        <w:tc>
          <w:tcPr>
            <w:tcW w:w="933" w:type="dxa"/>
            <w:tcBorders>
              <w:top w:val="single" w:sz="4" w:space="0" w:color="000000" w:themeColor="text1"/>
              <w:left w:val="single" w:sz="4" w:space="0" w:color="000000" w:themeColor="text1"/>
              <w:bottom w:val="single" w:sz="4" w:space="0" w:color="auto"/>
            </w:tcBorders>
            <w:vAlign w:val="center"/>
          </w:tcPr>
          <w:p w14:paraId="5D2F40D5" w14:textId="61AB9872" w:rsidR="00B74E81" w:rsidRPr="00AC64BA" w:rsidRDefault="00B51E1C" w:rsidP="00AC64BA">
            <w:pPr>
              <w:snapToGrid w:val="0"/>
              <w:jc w:val="both"/>
              <w:rPr>
                <w:sz w:val="22"/>
                <w:szCs w:val="22"/>
              </w:rPr>
            </w:pPr>
            <w:r w:rsidRPr="00AC64BA">
              <w:rPr>
                <w:sz w:val="22"/>
                <w:szCs w:val="22"/>
              </w:rPr>
              <w:t>KRUS</w:t>
            </w:r>
          </w:p>
        </w:tc>
        <w:tc>
          <w:tcPr>
            <w:tcW w:w="7938" w:type="dxa"/>
            <w:tcBorders>
              <w:top w:val="single" w:sz="4" w:space="0" w:color="000000" w:themeColor="text1"/>
              <w:left w:val="single" w:sz="4" w:space="0" w:color="000000" w:themeColor="text1"/>
              <w:bottom w:val="single" w:sz="4" w:space="0" w:color="auto"/>
            </w:tcBorders>
            <w:vAlign w:val="center"/>
          </w:tcPr>
          <w:p w14:paraId="78D712B4" w14:textId="60FB5A8B" w:rsidR="00B74E81" w:rsidRPr="0078357D" w:rsidRDefault="00B74E81" w:rsidP="00AC64BA">
            <w:pPr>
              <w:jc w:val="both"/>
              <w:rPr>
                <w:rFonts w:eastAsia="Times New Roman"/>
                <w:sz w:val="22"/>
                <w:szCs w:val="22"/>
                <w:lang w:eastAsia="pl-PL"/>
              </w:rPr>
            </w:pPr>
            <w:r w:rsidRPr="0078357D">
              <w:rPr>
                <w:rFonts w:eastAsia="Times New Roman"/>
                <w:b/>
                <w:bCs/>
                <w:sz w:val="22"/>
                <w:szCs w:val="22"/>
                <w:lang w:eastAsia="pl-PL"/>
              </w:rPr>
              <w:t>Ad rozdział 4 projektu</w:t>
            </w:r>
            <w:r w:rsidRPr="0078357D">
              <w:rPr>
                <w:rFonts w:eastAsia="Times New Roman"/>
                <w:sz w:val="22"/>
                <w:szCs w:val="22"/>
                <w:lang w:eastAsia="pl-PL"/>
              </w:rPr>
              <w:t xml:space="preserve"> – wprowadzić katalog form i metod oraz zakres ustawowych czynności </w:t>
            </w:r>
            <w:proofErr w:type="spellStart"/>
            <w:r w:rsidRPr="0078357D">
              <w:rPr>
                <w:rFonts w:eastAsia="Times New Roman"/>
                <w:sz w:val="22"/>
                <w:szCs w:val="22"/>
                <w:lang w:eastAsia="pl-PL"/>
              </w:rPr>
              <w:t>windykjacyjnych</w:t>
            </w:r>
            <w:proofErr w:type="spellEnd"/>
            <w:r w:rsidRPr="0078357D">
              <w:rPr>
                <w:rFonts w:eastAsia="Times New Roman"/>
                <w:sz w:val="22"/>
                <w:szCs w:val="22"/>
                <w:lang w:eastAsia="pl-PL"/>
              </w:rPr>
              <w:t>, ponieważ przykładowo w art. 31 pkt 5 ustawy powołuje się na „zakres ustawowych czynności windykacyjnych”</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CA1E7A9" w14:textId="5AA262FA" w:rsidR="00B74E81" w:rsidRPr="00477E77" w:rsidRDefault="442A4967" w:rsidP="00EA3524">
            <w:pPr>
              <w:snapToGrid w:val="0"/>
              <w:spacing w:line="259" w:lineRule="auto"/>
              <w:jc w:val="both"/>
              <w:rPr>
                <w:rFonts w:eastAsia="Times New Roman"/>
                <w:b/>
                <w:bCs/>
                <w:sz w:val="22"/>
                <w:szCs w:val="22"/>
              </w:rPr>
            </w:pPr>
            <w:r w:rsidRPr="00477E77">
              <w:rPr>
                <w:rFonts w:eastAsia="Times New Roman"/>
                <w:b/>
                <w:bCs/>
                <w:sz w:val="22"/>
                <w:szCs w:val="22"/>
              </w:rPr>
              <w:t>Częściowo uwzględniono</w:t>
            </w:r>
          </w:p>
          <w:p w14:paraId="4C4A5754" w14:textId="13F94B31" w:rsidR="00B74E81" w:rsidRPr="00477E77" w:rsidRDefault="30608847" w:rsidP="00EA3524">
            <w:pPr>
              <w:snapToGrid w:val="0"/>
              <w:jc w:val="both"/>
              <w:rPr>
                <w:sz w:val="22"/>
                <w:szCs w:val="22"/>
              </w:rPr>
            </w:pPr>
            <w:r w:rsidRPr="00477E77">
              <w:rPr>
                <w:sz w:val="22"/>
                <w:szCs w:val="22"/>
              </w:rPr>
              <w:t xml:space="preserve"> </w:t>
            </w:r>
            <w:r w:rsidR="532281A6" w:rsidRPr="00477E77">
              <w:rPr>
                <w:sz w:val="22"/>
                <w:szCs w:val="22"/>
              </w:rPr>
              <w:t xml:space="preserve">W art. 31 pkt 5 skreślono </w:t>
            </w:r>
            <w:r w:rsidR="773F6E04" w:rsidRPr="00477E77">
              <w:rPr>
                <w:sz w:val="22"/>
                <w:szCs w:val="22"/>
              </w:rPr>
              <w:t>wyraz</w:t>
            </w:r>
            <w:r w:rsidR="532281A6" w:rsidRPr="00477E77">
              <w:rPr>
                <w:sz w:val="22"/>
                <w:szCs w:val="22"/>
              </w:rPr>
              <w:t xml:space="preserve"> „ustawowych”</w:t>
            </w:r>
            <w:r w:rsidR="60C353FC" w:rsidRPr="00477E77">
              <w:rPr>
                <w:sz w:val="22"/>
                <w:szCs w:val="22"/>
              </w:rPr>
              <w:t xml:space="preserve"> </w:t>
            </w:r>
          </w:p>
          <w:p w14:paraId="6DF56FBC" w14:textId="72E6F1CE" w:rsidR="00825693" w:rsidRPr="00825693" w:rsidRDefault="00825693" w:rsidP="00EA3524">
            <w:pPr>
              <w:snapToGrid w:val="0"/>
              <w:jc w:val="both"/>
              <w:rPr>
                <w:b/>
                <w:bCs/>
                <w:color w:val="FF0000"/>
                <w:sz w:val="22"/>
                <w:szCs w:val="22"/>
              </w:rPr>
            </w:pPr>
            <w:r w:rsidRPr="00477E77">
              <w:rPr>
                <w:sz w:val="22"/>
                <w:szCs w:val="22"/>
              </w:rPr>
              <w:t xml:space="preserve">Uwaga ponadto uwzględniona jest poprzez zmianę w art. 31 polegającą na </w:t>
            </w:r>
            <w:r w:rsidRPr="00477E77">
              <w:rPr>
                <w:sz w:val="22"/>
                <w:szCs w:val="22"/>
              </w:rPr>
              <w:lastRenderedPageBreak/>
              <w:t>wprowadzeniu katalogu zamkniętego niedopuszczalnych zachowań.</w:t>
            </w:r>
            <w:r w:rsidRPr="00477E77">
              <w:rPr>
                <w:b/>
                <w:bCs/>
                <w:sz w:val="22"/>
                <w:szCs w:val="22"/>
              </w:rPr>
              <w:t xml:space="preserve"> </w:t>
            </w:r>
          </w:p>
        </w:tc>
      </w:tr>
      <w:tr w:rsidR="00B74E81" w:rsidRPr="007749DD" w14:paraId="32E81C50" w14:textId="77777777" w:rsidTr="00873465">
        <w:trPr>
          <w:trHeight w:val="276"/>
          <w:jc w:val="center"/>
        </w:trPr>
        <w:tc>
          <w:tcPr>
            <w:tcW w:w="704" w:type="dxa"/>
            <w:tcBorders>
              <w:top w:val="single" w:sz="4" w:space="0" w:color="000000" w:themeColor="text1"/>
              <w:left w:val="single" w:sz="4" w:space="0" w:color="000000" w:themeColor="text1"/>
              <w:bottom w:val="single" w:sz="4" w:space="0" w:color="auto"/>
            </w:tcBorders>
          </w:tcPr>
          <w:p w14:paraId="0C641AE0" w14:textId="0E2B9465" w:rsidR="00B74E81" w:rsidRPr="00CA4923" w:rsidRDefault="00B74E81"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auto"/>
            </w:tcBorders>
            <w:vAlign w:val="center"/>
          </w:tcPr>
          <w:p w14:paraId="7767BE7E" w14:textId="729BBEC9" w:rsidR="00B74E81" w:rsidRPr="00AC64BA" w:rsidRDefault="00B74E81" w:rsidP="00AC64BA">
            <w:pPr>
              <w:snapToGrid w:val="0"/>
              <w:jc w:val="both"/>
              <w:rPr>
                <w:sz w:val="22"/>
                <w:szCs w:val="22"/>
              </w:rPr>
            </w:pPr>
            <w:r w:rsidRPr="00AC64BA">
              <w:rPr>
                <w:sz w:val="22"/>
                <w:szCs w:val="22"/>
              </w:rPr>
              <w:t>Art. 23 ust. 2</w:t>
            </w:r>
          </w:p>
        </w:tc>
        <w:tc>
          <w:tcPr>
            <w:tcW w:w="933" w:type="dxa"/>
            <w:tcBorders>
              <w:top w:val="single" w:sz="4" w:space="0" w:color="000000" w:themeColor="text1"/>
              <w:left w:val="single" w:sz="4" w:space="0" w:color="000000" w:themeColor="text1"/>
              <w:bottom w:val="single" w:sz="4" w:space="0" w:color="auto"/>
            </w:tcBorders>
            <w:vAlign w:val="center"/>
          </w:tcPr>
          <w:p w14:paraId="6203CDAD" w14:textId="79674386" w:rsidR="00B74E81" w:rsidRPr="00AC64BA" w:rsidRDefault="00B51E1C" w:rsidP="00AC64BA">
            <w:pPr>
              <w:snapToGrid w:val="0"/>
              <w:jc w:val="both"/>
              <w:rPr>
                <w:sz w:val="22"/>
                <w:szCs w:val="22"/>
              </w:rPr>
            </w:pPr>
            <w:r w:rsidRPr="00AC64BA">
              <w:rPr>
                <w:sz w:val="22"/>
                <w:szCs w:val="22"/>
              </w:rPr>
              <w:t>KRUS</w:t>
            </w:r>
          </w:p>
        </w:tc>
        <w:tc>
          <w:tcPr>
            <w:tcW w:w="7938" w:type="dxa"/>
            <w:tcBorders>
              <w:top w:val="single" w:sz="4" w:space="0" w:color="000000" w:themeColor="text1"/>
              <w:left w:val="single" w:sz="4" w:space="0" w:color="000000" w:themeColor="text1"/>
              <w:bottom w:val="single" w:sz="4" w:space="0" w:color="auto"/>
            </w:tcBorders>
            <w:vAlign w:val="center"/>
          </w:tcPr>
          <w:p w14:paraId="46F640E3" w14:textId="3957BEE2" w:rsidR="00B74E81" w:rsidRPr="0078357D" w:rsidRDefault="00B74E81" w:rsidP="00AC64BA">
            <w:pPr>
              <w:jc w:val="both"/>
              <w:rPr>
                <w:sz w:val="22"/>
                <w:szCs w:val="22"/>
              </w:rPr>
            </w:pPr>
            <w:r w:rsidRPr="0078357D">
              <w:rPr>
                <w:rFonts w:eastAsia="Times New Roman"/>
                <w:b/>
                <w:bCs/>
                <w:sz w:val="22"/>
                <w:szCs w:val="22"/>
                <w:lang w:eastAsia="pl-PL"/>
              </w:rPr>
              <w:t xml:space="preserve">Ad art. </w:t>
            </w:r>
            <w:r w:rsidR="00B51E1C" w:rsidRPr="0078357D">
              <w:rPr>
                <w:rFonts w:eastAsia="Times New Roman"/>
                <w:b/>
                <w:bCs/>
                <w:sz w:val="22"/>
                <w:szCs w:val="22"/>
                <w:lang w:eastAsia="pl-PL"/>
              </w:rPr>
              <w:t>23</w:t>
            </w:r>
            <w:r w:rsidRPr="0078357D">
              <w:rPr>
                <w:rFonts w:eastAsia="Times New Roman"/>
                <w:b/>
                <w:bCs/>
                <w:sz w:val="22"/>
                <w:szCs w:val="22"/>
                <w:lang w:eastAsia="pl-PL"/>
              </w:rPr>
              <w:t xml:space="preserve"> ust. </w:t>
            </w:r>
            <w:r w:rsidR="00B51E1C" w:rsidRPr="0078357D">
              <w:rPr>
                <w:rFonts w:eastAsia="Times New Roman"/>
                <w:b/>
                <w:bCs/>
                <w:sz w:val="22"/>
                <w:szCs w:val="22"/>
                <w:lang w:eastAsia="pl-PL"/>
              </w:rPr>
              <w:t>2</w:t>
            </w:r>
            <w:r w:rsidRPr="0078357D">
              <w:rPr>
                <w:rFonts w:eastAsia="Times New Roman"/>
                <w:b/>
                <w:bCs/>
                <w:sz w:val="22"/>
                <w:szCs w:val="22"/>
                <w:lang w:eastAsia="pl-PL"/>
              </w:rPr>
              <w:t xml:space="preserve"> projektu</w:t>
            </w:r>
            <w:r w:rsidR="00B51E1C" w:rsidRPr="0078357D">
              <w:rPr>
                <w:rFonts w:eastAsia="Times New Roman"/>
                <w:sz w:val="22"/>
                <w:szCs w:val="22"/>
                <w:lang w:eastAsia="pl-PL"/>
              </w:rPr>
              <w:t xml:space="preserve"> – przed wyrazem „należność”</w:t>
            </w:r>
            <w:r w:rsidR="00676E35" w:rsidRPr="0078357D">
              <w:rPr>
                <w:rFonts w:eastAsia="Times New Roman"/>
                <w:sz w:val="22"/>
                <w:szCs w:val="22"/>
                <w:lang w:eastAsia="pl-PL"/>
              </w:rPr>
              <w:t xml:space="preserve"> należy</w:t>
            </w:r>
            <w:r w:rsidR="00B51E1C" w:rsidRPr="0078357D">
              <w:rPr>
                <w:rFonts w:eastAsia="Times New Roman"/>
                <w:sz w:val="22"/>
                <w:szCs w:val="22"/>
                <w:lang w:eastAsia="pl-PL"/>
              </w:rPr>
              <w:t xml:space="preserve"> dodać zapis „kwotę i wymagany termin zapłaty oraz tytuł należności”</w:t>
            </w:r>
            <w:r w:rsidR="00416314">
              <w:rPr>
                <w:rFonts w:eastAsia="Times New Roman"/>
                <w:sz w:val="22"/>
                <w:szCs w:val="22"/>
                <w:lang w:eastAsia="pl-PL"/>
              </w:rPr>
              <w:t xml:space="preserve"> </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024128A" w14:textId="457EF4F9" w:rsidR="00B74E81" w:rsidRPr="005A5F3A" w:rsidRDefault="00006E4B" w:rsidP="332585BD">
            <w:pPr>
              <w:snapToGrid w:val="0"/>
              <w:rPr>
                <w:color w:val="FF0000"/>
                <w:sz w:val="22"/>
                <w:szCs w:val="22"/>
                <w:highlight w:val="yellow"/>
              </w:rPr>
            </w:pPr>
            <w:r w:rsidRPr="00006E4B">
              <w:rPr>
                <w:rFonts w:eastAsia="Times New Roman"/>
                <w:b/>
                <w:bCs/>
                <w:sz w:val="22"/>
                <w:szCs w:val="22"/>
              </w:rPr>
              <w:t xml:space="preserve">Nie uwzględniono. Treść przepisu w ocenie projektodawcy nie budzi wątpliwości </w:t>
            </w:r>
          </w:p>
        </w:tc>
      </w:tr>
      <w:tr w:rsidR="00B74E81" w:rsidRPr="007749DD" w14:paraId="5B8DDA0F" w14:textId="77777777" w:rsidTr="00873465">
        <w:trPr>
          <w:trHeight w:val="276"/>
          <w:jc w:val="center"/>
        </w:trPr>
        <w:tc>
          <w:tcPr>
            <w:tcW w:w="704" w:type="dxa"/>
            <w:tcBorders>
              <w:top w:val="single" w:sz="4" w:space="0" w:color="000000" w:themeColor="text1"/>
              <w:left w:val="single" w:sz="4" w:space="0" w:color="000000" w:themeColor="text1"/>
              <w:bottom w:val="single" w:sz="4" w:space="0" w:color="auto"/>
            </w:tcBorders>
          </w:tcPr>
          <w:p w14:paraId="1709F1C9" w14:textId="51BF2F24" w:rsidR="00B74E81" w:rsidRPr="00CA4923" w:rsidRDefault="00B74E81"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auto"/>
            </w:tcBorders>
            <w:vAlign w:val="center"/>
          </w:tcPr>
          <w:p w14:paraId="738D755F" w14:textId="70DCC1EC" w:rsidR="00B74E81" w:rsidRPr="00AC64BA" w:rsidRDefault="00B51E1C" w:rsidP="00AC64BA">
            <w:pPr>
              <w:snapToGrid w:val="0"/>
              <w:jc w:val="both"/>
              <w:rPr>
                <w:sz w:val="22"/>
                <w:szCs w:val="22"/>
              </w:rPr>
            </w:pPr>
            <w:r w:rsidRPr="00AC64BA">
              <w:rPr>
                <w:sz w:val="22"/>
                <w:szCs w:val="22"/>
              </w:rPr>
              <w:t>Art. 23 ust. 3 pkt 3</w:t>
            </w:r>
          </w:p>
        </w:tc>
        <w:tc>
          <w:tcPr>
            <w:tcW w:w="933" w:type="dxa"/>
            <w:tcBorders>
              <w:top w:val="single" w:sz="4" w:space="0" w:color="000000" w:themeColor="text1"/>
              <w:left w:val="single" w:sz="4" w:space="0" w:color="000000" w:themeColor="text1"/>
              <w:bottom w:val="single" w:sz="4" w:space="0" w:color="auto"/>
            </w:tcBorders>
            <w:vAlign w:val="center"/>
          </w:tcPr>
          <w:p w14:paraId="14DCB70C" w14:textId="09965FD2" w:rsidR="00B74E81" w:rsidRPr="00AC64BA" w:rsidRDefault="00B51E1C" w:rsidP="00AC64BA">
            <w:pPr>
              <w:snapToGrid w:val="0"/>
              <w:jc w:val="both"/>
              <w:rPr>
                <w:sz w:val="22"/>
                <w:szCs w:val="22"/>
              </w:rPr>
            </w:pPr>
            <w:r w:rsidRPr="00AC64BA">
              <w:rPr>
                <w:sz w:val="22"/>
                <w:szCs w:val="22"/>
              </w:rPr>
              <w:t>KRUS</w:t>
            </w:r>
          </w:p>
        </w:tc>
        <w:tc>
          <w:tcPr>
            <w:tcW w:w="7938" w:type="dxa"/>
            <w:tcBorders>
              <w:top w:val="single" w:sz="4" w:space="0" w:color="000000" w:themeColor="text1"/>
              <w:left w:val="single" w:sz="4" w:space="0" w:color="000000" w:themeColor="text1"/>
              <w:bottom w:val="single" w:sz="4" w:space="0" w:color="auto"/>
            </w:tcBorders>
            <w:vAlign w:val="center"/>
          </w:tcPr>
          <w:p w14:paraId="726712CF" w14:textId="7C9654C3" w:rsidR="00B74E81" w:rsidRPr="0078357D" w:rsidRDefault="00B74E81" w:rsidP="00AC64BA">
            <w:pPr>
              <w:jc w:val="both"/>
              <w:rPr>
                <w:sz w:val="22"/>
                <w:szCs w:val="22"/>
              </w:rPr>
            </w:pPr>
            <w:r w:rsidRPr="0078357D">
              <w:rPr>
                <w:rFonts w:eastAsia="Times New Roman"/>
                <w:b/>
                <w:bCs/>
                <w:sz w:val="22"/>
                <w:szCs w:val="22"/>
                <w:lang w:eastAsia="pl-PL"/>
              </w:rPr>
              <w:t xml:space="preserve">Ad art. </w:t>
            </w:r>
            <w:r w:rsidR="00B51E1C" w:rsidRPr="0078357D">
              <w:rPr>
                <w:rFonts w:eastAsia="Times New Roman"/>
                <w:b/>
                <w:bCs/>
                <w:sz w:val="22"/>
                <w:szCs w:val="22"/>
                <w:lang w:eastAsia="pl-PL"/>
              </w:rPr>
              <w:t>23</w:t>
            </w:r>
            <w:r w:rsidRPr="0078357D">
              <w:rPr>
                <w:rFonts w:eastAsia="Times New Roman"/>
                <w:b/>
                <w:bCs/>
                <w:sz w:val="22"/>
                <w:szCs w:val="22"/>
                <w:lang w:eastAsia="pl-PL"/>
              </w:rPr>
              <w:t xml:space="preserve"> ust. </w:t>
            </w:r>
            <w:r w:rsidR="00B51E1C" w:rsidRPr="0078357D">
              <w:rPr>
                <w:rFonts w:eastAsia="Times New Roman"/>
                <w:b/>
                <w:bCs/>
                <w:sz w:val="22"/>
                <w:szCs w:val="22"/>
                <w:lang w:eastAsia="pl-PL"/>
              </w:rPr>
              <w:t>3 pkt 3</w:t>
            </w:r>
            <w:r w:rsidRPr="0078357D">
              <w:rPr>
                <w:rFonts w:eastAsia="Times New Roman"/>
                <w:b/>
                <w:bCs/>
                <w:sz w:val="22"/>
                <w:szCs w:val="22"/>
                <w:lang w:eastAsia="pl-PL"/>
              </w:rPr>
              <w:t xml:space="preserve"> projektu</w:t>
            </w:r>
            <w:r w:rsidR="00B51E1C" w:rsidRPr="0078357D">
              <w:rPr>
                <w:rFonts w:eastAsia="Times New Roman"/>
                <w:sz w:val="22"/>
                <w:szCs w:val="22"/>
                <w:lang w:eastAsia="pl-PL"/>
              </w:rPr>
              <w:t xml:space="preserve"> – </w:t>
            </w:r>
            <w:r w:rsidR="00676E35" w:rsidRPr="0078357D">
              <w:rPr>
                <w:rFonts w:eastAsia="Times New Roman"/>
                <w:sz w:val="22"/>
                <w:szCs w:val="22"/>
                <w:lang w:eastAsia="pl-PL"/>
              </w:rPr>
              <w:t xml:space="preserve">należy </w:t>
            </w:r>
            <w:r w:rsidR="00B51E1C" w:rsidRPr="0078357D">
              <w:rPr>
                <w:rFonts w:eastAsia="Times New Roman"/>
                <w:sz w:val="22"/>
                <w:szCs w:val="22"/>
                <w:lang w:eastAsia="pl-PL"/>
              </w:rPr>
              <w:t>doprecyzować rodzaj dokumentu z którego ma wynikać, że doszło do przerwania biegu przedawnienia</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2BB954EA" w14:textId="6A7DF459" w:rsidR="00B74E81" w:rsidRPr="001C75BC" w:rsidRDefault="2FC5B6A6" w:rsidP="001C75BC">
            <w:pPr>
              <w:snapToGrid w:val="0"/>
              <w:jc w:val="both"/>
              <w:rPr>
                <w:sz w:val="22"/>
                <w:szCs w:val="22"/>
              </w:rPr>
            </w:pPr>
            <w:r w:rsidRPr="001C75BC">
              <w:rPr>
                <w:b/>
                <w:bCs/>
                <w:sz w:val="22"/>
                <w:szCs w:val="22"/>
              </w:rPr>
              <w:t xml:space="preserve">Nie uwzględniono.  </w:t>
            </w:r>
          </w:p>
          <w:p w14:paraId="77498C07" w14:textId="3AF3F23A" w:rsidR="00B74E81" w:rsidRPr="001C75BC" w:rsidRDefault="4856EF16" w:rsidP="001C75BC">
            <w:pPr>
              <w:snapToGrid w:val="0"/>
              <w:jc w:val="both"/>
              <w:rPr>
                <w:sz w:val="22"/>
                <w:szCs w:val="22"/>
              </w:rPr>
            </w:pPr>
            <w:r w:rsidRPr="001C75BC">
              <w:rPr>
                <w:sz w:val="22"/>
                <w:szCs w:val="22"/>
              </w:rPr>
              <w:t>Uwaga niezasadna</w:t>
            </w:r>
            <w:r w:rsidR="00416314" w:rsidRPr="001C75BC">
              <w:rPr>
                <w:sz w:val="22"/>
                <w:szCs w:val="22"/>
              </w:rPr>
              <w:t>, zasady przerwania biegu terminu przedawnienia określają reguły wynikające z kodeksu cywilnego.</w:t>
            </w:r>
          </w:p>
        </w:tc>
      </w:tr>
      <w:tr w:rsidR="00B74E81" w:rsidRPr="007749DD" w14:paraId="63801AAA" w14:textId="77777777" w:rsidTr="00873465">
        <w:trPr>
          <w:trHeight w:val="276"/>
          <w:jc w:val="center"/>
        </w:trPr>
        <w:tc>
          <w:tcPr>
            <w:tcW w:w="704" w:type="dxa"/>
            <w:tcBorders>
              <w:top w:val="single" w:sz="4" w:space="0" w:color="000000" w:themeColor="text1"/>
              <w:left w:val="single" w:sz="4" w:space="0" w:color="000000" w:themeColor="text1"/>
              <w:bottom w:val="single" w:sz="4" w:space="0" w:color="auto"/>
            </w:tcBorders>
          </w:tcPr>
          <w:p w14:paraId="0A6721D5" w14:textId="0D8B4242" w:rsidR="00B74E81" w:rsidRPr="00CA4923" w:rsidRDefault="00B74E81"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auto"/>
            </w:tcBorders>
            <w:vAlign w:val="center"/>
          </w:tcPr>
          <w:p w14:paraId="31899051" w14:textId="44365A30" w:rsidR="00B74E81" w:rsidRPr="00AC64BA" w:rsidRDefault="00B51E1C" w:rsidP="00AC64BA">
            <w:pPr>
              <w:snapToGrid w:val="0"/>
              <w:jc w:val="both"/>
              <w:rPr>
                <w:sz w:val="22"/>
                <w:szCs w:val="22"/>
              </w:rPr>
            </w:pPr>
            <w:r w:rsidRPr="00AC64BA">
              <w:rPr>
                <w:sz w:val="22"/>
                <w:szCs w:val="22"/>
              </w:rPr>
              <w:t>Art. 24</w:t>
            </w:r>
          </w:p>
        </w:tc>
        <w:tc>
          <w:tcPr>
            <w:tcW w:w="933" w:type="dxa"/>
            <w:tcBorders>
              <w:top w:val="single" w:sz="4" w:space="0" w:color="000000" w:themeColor="text1"/>
              <w:left w:val="single" w:sz="4" w:space="0" w:color="000000" w:themeColor="text1"/>
              <w:bottom w:val="single" w:sz="4" w:space="0" w:color="auto"/>
            </w:tcBorders>
            <w:vAlign w:val="center"/>
          </w:tcPr>
          <w:p w14:paraId="05724627" w14:textId="68E6C3BE" w:rsidR="00B74E81" w:rsidRPr="00AC64BA" w:rsidRDefault="00B51E1C" w:rsidP="00AC64BA">
            <w:pPr>
              <w:snapToGrid w:val="0"/>
              <w:jc w:val="both"/>
              <w:rPr>
                <w:sz w:val="22"/>
                <w:szCs w:val="22"/>
              </w:rPr>
            </w:pPr>
            <w:r w:rsidRPr="00AC64BA">
              <w:rPr>
                <w:sz w:val="22"/>
                <w:szCs w:val="22"/>
              </w:rPr>
              <w:t>KRUS</w:t>
            </w:r>
          </w:p>
        </w:tc>
        <w:tc>
          <w:tcPr>
            <w:tcW w:w="7938" w:type="dxa"/>
            <w:tcBorders>
              <w:top w:val="single" w:sz="4" w:space="0" w:color="000000" w:themeColor="text1"/>
              <w:left w:val="single" w:sz="4" w:space="0" w:color="000000" w:themeColor="text1"/>
              <w:bottom w:val="single" w:sz="4" w:space="0" w:color="auto"/>
            </w:tcBorders>
            <w:vAlign w:val="center"/>
          </w:tcPr>
          <w:p w14:paraId="055AC985" w14:textId="77777777" w:rsidR="00B51E1C" w:rsidRPr="0078357D" w:rsidRDefault="00B74E81" w:rsidP="00AC64BA">
            <w:pPr>
              <w:jc w:val="both"/>
              <w:rPr>
                <w:rFonts w:eastAsia="Times New Roman"/>
                <w:sz w:val="22"/>
                <w:szCs w:val="22"/>
                <w:lang w:eastAsia="pl-PL"/>
              </w:rPr>
            </w:pPr>
            <w:r w:rsidRPr="0078357D">
              <w:rPr>
                <w:rFonts w:eastAsia="Times New Roman"/>
                <w:b/>
                <w:bCs/>
                <w:sz w:val="22"/>
                <w:szCs w:val="22"/>
                <w:lang w:eastAsia="pl-PL"/>
              </w:rPr>
              <w:t xml:space="preserve">Ad art. </w:t>
            </w:r>
            <w:r w:rsidR="00B51E1C" w:rsidRPr="0078357D">
              <w:rPr>
                <w:rFonts w:eastAsia="Times New Roman"/>
                <w:b/>
                <w:bCs/>
                <w:sz w:val="22"/>
                <w:szCs w:val="22"/>
                <w:lang w:eastAsia="pl-PL"/>
              </w:rPr>
              <w:t>24</w:t>
            </w:r>
            <w:r w:rsidRPr="0078357D">
              <w:rPr>
                <w:rFonts w:eastAsia="Times New Roman"/>
                <w:b/>
                <w:bCs/>
                <w:sz w:val="22"/>
                <w:szCs w:val="22"/>
                <w:lang w:eastAsia="pl-PL"/>
              </w:rPr>
              <w:t xml:space="preserve"> projektu</w:t>
            </w:r>
            <w:r w:rsidR="00B51E1C" w:rsidRPr="0078357D">
              <w:rPr>
                <w:rFonts w:eastAsia="Times New Roman"/>
                <w:b/>
                <w:bCs/>
                <w:sz w:val="22"/>
                <w:szCs w:val="22"/>
                <w:lang w:eastAsia="pl-PL"/>
              </w:rPr>
              <w:t xml:space="preserve"> </w:t>
            </w:r>
          </w:p>
          <w:p w14:paraId="7D71FD62" w14:textId="71D18A4C" w:rsidR="00B74E81" w:rsidRPr="0078357D" w:rsidRDefault="00B51E1C" w:rsidP="00AC64BA">
            <w:pPr>
              <w:jc w:val="both"/>
              <w:rPr>
                <w:sz w:val="22"/>
                <w:szCs w:val="22"/>
              </w:rPr>
            </w:pPr>
            <w:r w:rsidRPr="0078357D">
              <w:rPr>
                <w:rFonts w:eastAsia="Times New Roman"/>
                <w:sz w:val="22"/>
                <w:szCs w:val="22"/>
                <w:lang w:eastAsia="pl-PL"/>
              </w:rPr>
              <w:t xml:space="preserve">1. </w:t>
            </w:r>
            <w:r w:rsidR="00676E35" w:rsidRPr="0078357D">
              <w:rPr>
                <w:rFonts w:eastAsia="Times New Roman"/>
                <w:sz w:val="22"/>
                <w:szCs w:val="22"/>
                <w:lang w:eastAsia="pl-PL"/>
              </w:rPr>
              <w:t xml:space="preserve">należy </w:t>
            </w:r>
            <w:r w:rsidRPr="0078357D">
              <w:rPr>
                <w:rFonts w:eastAsia="Times New Roman"/>
                <w:sz w:val="22"/>
                <w:szCs w:val="22"/>
                <w:lang w:eastAsia="pl-PL"/>
              </w:rPr>
              <w:t>doprecyzować co będzie „pierwszą czynnością windykacyjną i co zakończy windykację”</w:t>
            </w:r>
          </w:p>
          <w:p w14:paraId="0BF9E7AA" w14:textId="1BDF4128" w:rsidR="00B74E81" w:rsidRPr="0078357D" w:rsidRDefault="00B51E1C" w:rsidP="00AC64BA">
            <w:pPr>
              <w:jc w:val="both"/>
              <w:rPr>
                <w:rFonts w:eastAsia="Times New Roman"/>
                <w:b/>
                <w:bCs/>
                <w:sz w:val="22"/>
                <w:szCs w:val="22"/>
                <w:lang w:eastAsia="pl-PL"/>
              </w:rPr>
            </w:pPr>
            <w:r w:rsidRPr="0078357D">
              <w:rPr>
                <w:rFonts w:eastAsia="Times New Roman"/>
                <w:sz w:val="22"/>
                <w:szCs w:val="22"/>
                <w:lang w:eastAsia="pl-PL"/>
              </w:rPr>
              <w:t>2. dodać zapis, że nota powinna być sporządzona w języku polskim</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0D391FA8" w14:textId="23585D8D" w:rsidR="007D1445" w:rsidRPr="007D1445" w:rsidRDefault="66D6899E" w:rsidP="55D0ADF2">
            <w:pPr>
              <w:spacing w:line="259" w:lineRule="auto"/>
              <w:rPr>
                <w:b/>
                <w:bCs/>
                <w:color w:val="FF0000"/>
                <w:sz w:val="22"/>
                <w:szCs w:val="22"/>
              </w:rPr>
            </w:pPr>
            <w:r w:rsidRPr="001C75BC">
              <w:rPr>
                <w:b/>
                <w:bCs/>
                <w:sz w:val="22"/>
                <w:szCs w:val="22"/>
              </w:rPr>
              <w:t>Częściowo uwzględniono</w:t>
            </w:r>
            <w:r w:rsidR="7F601876" w:rsidRPr="001C75BC">
              <w:rPr>
                <w:b/>
                <w:bCs/>
                <w:sz w:val="22"/>
                <w:szCs w:val="22"/>
              </w:rPr>
              <w:t>, przepis doprecyzowano.</w:t>
            </w:r>
          </w:p>
        </w:tc>
      </w:tr>
      <w:tr w:rsidR="00B74E81" w:rsidRPr="007749DD" w14:paraId="0FAD7FC8" w14:textId="77777777" w:rsidTr="00873465">
        <w:trPr>
          <w:trHeight w:val="276"/>
          <w:jc w:val="center"/>
        </w:trPr>
        <w:tc>
          <w:tcPr>
            <w:tcW w:w="704" w:type="dxa"/>
            <w:tcBorders>
              <w:top w:val="single" w:sz="4" w:space="0" w:color="000000" w:themeColor="text1"/>
              <w:left w:val="single" w:sz="4" w:space="0" w:color="000000" w:themeColor="text1"/>
              <w:bottom w:val="single" w:sz="4" w:space="0" w:color="auto"/>
            </w:tcBorders>
          </w:tcPr>
          <w:p w14:paraId="4F298DB7" w14:textId="7FFB5C36" w:rsidR="00B74E81" w:rsidRPr="00CA4923" w:rsidRDefault="00B74E81"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auto"/>
            </w:tcBorders>
            <w:vAlign w:val="center"/>
          </w:tcPr>
          <w:p w14:paraId="082E8026" w14:textId="45A3245B" w:rsidR="00B74E81" w:rsidRPr="00AC64BA" w:rsidRDefault="00B51E1C" w:rsidP="00AC64BA">
            <w:pPr>
              <w:snapToGrid w:val="0"/>
              <w:jc w:val="both"/>
              <w:rPr>
                <w:sz w:val="22"/>
                <w:szCs w:val="22"/>
              </w:rPr>
            </w:pPr>
            <w:r w:rsidRPr="00AC64BA">
              <w:rPr>
                <w:sz w:val="22"/>
                <w:szCs w:val="22"/>
              </w:rPr>
              <w:t>Art. 31 pkt 7 lit. a</w:t>
            </w:r>
          </w:p>
        </w:tc>
        <w:tc>
          <w:tcPr>
            <w:tcW w:w="933" w:type="dxa"/>
            <w:tcBorders>
              <w:top w:val="single" w:sz="4" w:space="0" w:color="000000" w:themeColor="text1"/>
              <w:left w:val="single" w:sz="4" w:space="0" w:color="000000" w:themeColor="text1"/>
              <w:bottom w:val="single" w:sz="4" w:space="0" w:color="auto"/>
            </w:tcBorders>
            <w:vAlign w:val="center"/>
          </w:tcPr>
          <w:p w14:paraId="7AF6DD09" w14:textId="77F042A9" w:rsidR="00B74E81" w:rsidRPr="00AC64BA" w:rsidRDefault="00B51E1C" w:rsidP="00AC64BA">
            <w:pPr>
              <w:snapToGrid w:val="0"/>
              <w:jc w:val="both"/>
              <w:rPr>
                <w:sz w:val="22"/>
                <w:szCs w:val="22"/>
              </w:rPr>
            </w:pPr>
            <w:r w:rsidRPr="00AC64BA">
              <w:rPr>
                <w:sz w:val="22"/>
                <w:szCs w:val="22"/>
              </w:rPr>
              <w:t>KRUS</w:t>
            </w:r>
          </w:p>
        </w:tc>
        <w:tc>
          <w:tcPr>
            <w:tcW w:w="7938" w:type="dxa"/>
            <w:tcBorders>
              <w:top w:val="single" w:sz="4" w:space="0" w:color="000000" w:themeColor="text1"/>
              <w:left w:val="single" w:sz="4" w:space="0" w:color="000000" w:themeColor="text1"/>
              <w:bottom w:val="single" w:sz="4" w:space="0" w:color="auto"/>
            </w:tcBorders>
            <w:vAlign w:val="center"/>
          </w:tcPr>
          <w:p w14:paraId="6B8A9B0D" w14:textId="17AA5188" w:rsidR="00B74E81" w:rsidRPr="001E0853" w:rsidRDefault="00B74E81" w:rsidP="00AC64BA">
            <w:pPr>
              <w:jc w:val="both"/>
              <w:rPr>
                <w:sz w:val="22"/>
                <w:szCs w:val="22"/>
              </w:rPr>
            </w:pPr>
            <w:r w:rsidRPr="0078357D">
              <w:rPr>
                <w:rFonts w:eastAsia="Times New Roman"/>
                <w:b/>
                <w:bCs/>
                <w:sz w:val="22"/>
                <w:szCs w:val="22"/>
                <w:lang w:eastAsia="pl-PL"/>
              </w:rPr>
              <w:t xml:space="preserve">Ad art. </w:t>
            </w:r>
            <w:r w:rsidR="00B51E1C" w:rsidRPr="0078357D">
              <w:rPr>
                <w:rFonts w:eastAsia="Times New Roman"/>
                <w:b/>
                <w:bCs/>
                <w:sz w:val="22"/>
                <w:szCs w:val="22"/>
                <w:lang w:eastAsia="pl-PL"/>
              </w:rPr>
              <w:t>31</w:t>
            </w:r>
            <w:r w:rsidRPr="0078357D">
              <w:rPr>
                <w:rFonts w:eastAsia="Times New Roman"/>
                <w:b/>
                <w:bCs/>
                <w:sz w:val="22"/>
                <w:szCs w:val="22"/>
                <w:lang w:eastAsia="pl-PL"/>
              </w:rPr>
              <w:t xml:space="preserve"> </w:t>
            </w:r>
            <w:r w:rsidR="00B51E1C" w:rsidRPr="0078357D">
              <w:rPr>
                <w:rFonts w:eastAsia="Times New Roman"/>
                <w:b/>
                <w:bCs/>
                <w:sz w:val="22"/>
                <w:szCs w:val="22"/>
                <w:lang w:eastAsia="pl-PL"/>
              </w:rPr>
              <w:t xml:space="preserve">pkt 7 lit. a </w:t>
            </w:r>
            <w:r w:rsidRPr="0078357D">
              <w:rPr>
                <w:rFonts w:eastAsia="Times New Roman"/>
                <w:b/>
                <w:bCs/>
                <w:sz w:val="22"/>
                <w:szCs w:val="22"/>
                <w:lang w:eastAsia="pl-PL"/>
              </w:rPr>
              <w:t>projektu</w:t>
            </w:r>
            <w:r w:rsidR="00B51E1C" w:rsidRPr="0078357D">
              <w:rPr>
                <w:rFonts w:eastAsia="Times New Roman"/>
                <w:sz w:val="22"/>
                <w:szCs w:val="22"/>
                <w:lang w:eastAsia="pl-PL"/>
              </w:rPr>
              <w:t xml:space="preserve"> – </w:t>
            </w:r>
            <w:r w:rsidR="00676E35" w:rsidRPr="0078357D">
              <w:rPr>
                <w:rFonts w:eastAsia="Times New Roman"/>
                <w:sz w:val="22"/>
                <w:szCs w:val="22"/>
                <w:lang w:eastAsia="pl-PL"/>
              </w:rPr>
              <w:t xml:space="preserve">należy </w:t>
            </w:r>
            <w:r w:rsidR="00B51E1C" w:rsidRPr="0078357D">
              <w:rPr>
                <w:rFonts w:eastAsia="Times New Roman"/>
                <w:sz w:val="22"/>
                <w:szCs w:val="22"/>
                <w:lang w:eastAsia="pl-PL"/>
              </w:rPr>
              <w:t>doprecyzować sformułowanie „zachowanie lub używanie sformułowań, dokumentów albo przedmiotów, które</w:t>
            </w:r>
            <w:r w:rsidR="00E12230" w:rsidRPr="0078357D">
              <w:rPr>
                <w:rFonts w:eastAsia="Times New Roman"/>
                <w:sz w:val="22"/>
                <w:szCs w:val="22"/>
                <w:lang w:eastAsia="pl-PL"/>
              </w:rPr>
              <w:t>: mają agresywny charakter</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745216F4" w14:textId="6A7DF459" w:rsidR="1F082058" w:rsidRPr="00E07EC2" w:rsidRDefault="1F082058" w:rsidP="55D0ADF2">
            <w:pPr>
              <w:rPr>
                <w:sz w:val="22"/>
                <w:szCs w:val="22"/>
              </w:rPr>
            </w:pPr>
            <w:r w:rsidRPr="00E07EC2">
              <w:rPr>
                <w:b/>
                <w:bCs/>
                <w:sz w:val="22"/>
                <w:szCs w:val="22"/>
              </w:rPr>
              <w:t xml:space="preserve">Nie uwzględniono.  </w:t>
            </w:r>
          </w:p>
          <w:p w14:paraId="3F6B3A6F" w14:textId="3D0DBAEF" w:rsidR="00A44799" w:rsidRDefault="2B59C276" w:rsidP="332585BD">
            <w:pPr>
              <w:snapToGrid w:val="0"/>
              <w:rPr>
                <w:color w:val="FF0000"/>
                <w:sz w:val="22"/>
                <w:szCs w:val="22"/>
              </w:rPr>
            </w:pPr>
            <w:r w:rsidRPr="00E07EC2">
              <w:rPr>
                <w:sz w:val="22"/>
                <w:szCs w:val="22"/>
              </w:rPr>
              <w:t>Uwaga niezasadna.</w:t>
            </w:r>
          </w:p>
        </w:tc>
      </w:tr>
      <w:tr w:rsidR="00B74E81" w:rsidRPr="007749DD" w14:paraId="3B47A03F" w14:textId="77777777" w:rsidTr="00873465">
        <w:trPr>
          <w:trHeight w:val="276"/>
          <w:jc w:val="center"/>
        </w:trPr>
        <w:tc>
          <w:tcPr>
            <w:tcW w:w="704" w:type="dxa"/>
            <w:tcBorders>
              <w:top w:val="single" w:sz="4" w:space="0" w:color="000000" w:themeColor="text1"/>
              <w:left w:val="single" w:sz="4" w:space="0" w:color="000000" w:themeColor="text1"/>
              <w:bottom w:val="single" w:sz="4" w:space="0" w:color="auto"/>
            </w:tcBorders>
          </w:tcPr>
          <w:p w14:paraId="3B89ECB1" w14:textId="40619881" w:rsidR="00B74E81" w:rsidRPr="00CA4923" w:rsidRDefault="00B74E81"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auto"/>
            </w:tcBorders>
            <w:vAlign w:val="center"/>
          </w:tcPr>
          <w:p w14:paraId="354A1B9E" w14:textId="065128BF" w:rsidR="00B74E81" w:rsidRPr="00AC64BA" w:rsidRDefault="00E12230" w:rsidP="00AC64BA">
            <w:pPr>
              <w:snapToGrid w:val="0"/>
              <w:jc w:val="both"/>
              <w:rPr>
                <w:sz w:val="22"/>
                <w:szCs w:val="22"/>
              </w:rPr>
            </w:pPr>
            <w:r w:rsidRPr="00AC64BA">
              <w:rPr>
                <w:sz w:val="22"/>
                <w:szCs w:val="22"/>
              </w:rPr>
              <w:t xml:space="preserve">Art. 33 pkt 6 </w:t>
            </w:r>
          </w:p>
        </w:tc>
        <w:tc>
          <w:tcPr>
            <w:tcW w:w="933" w:type="dxa"/>
            <w:tcBorders>
              <w:top w:val="single" w:sz="4" w:space="0" w:color="000000" w:themeColor="text1"/>
              <w:left w:val="single" w:sz="4" w:space="0" w:color="000000" w:themeColor="text1"/>
              <w:bottom w:val="single" w:sz="4" w:space="0" w:color="auto"/>
            </w:tcBorders>
            <w:vAlign w:val="center"/>
          </w:tcPr>
          <w:p w14:paraId="771243A7" w14:textId="573A4A26" w:rsidR="00B74E81" w:rsidRPr="00AC64BA" w:rsidRDefault="00B51E1C" w:rsidP="00AC64BA">
            <w:pPr>
              <w:snapToGrid w:val="0"/>
              <w:jc w:val="both"/>
              <w:rPr>
                <w:sz w:val="22"/>
                <w:szCs w:val="22"/>
              </w:rPr>
            </w:pPr>
            <w:r w:rsidRPr="00AC64BA">
              <w:rPr>
                <w:sz w:val="22"/>
                <w:szCs w:val="22"/>
              </w:rPr>
              <w:t>KRUS</w:t>
            </w:r>
          </w:p>
        </w:tc>
        <w:tc>
          <w:tcPr>
            <w:tcW w:w="7938" w:type="dxa"/>
            <w:tcBorders>
              <w:top w:val="single" w:sz="4" w:space="0" w:color="000000" w:themeColor="text1"/>
              <w:left w:val="single" w:sz="4" w:space="0" w:color="000000" w:themeColor="text1"/>
              <w:bottom w:val="single" w:sz="4" w:space="0" w:color="auto"/>
            </w:tcBorders>
            <w:vAlign w:val="center"/>
          </w:tcPr>
          <w:p w14:paraId="12BA53E8" w14:textId="7C067F7B" w:rsidR="00B74E81" w:rsidRPr="001E0853" w:rsidRDefault="00B74E81" w:rsidP="00AC64BA">
            <w:pPr>
              <w:jc w:val="both"/>
              <w:rPr>
                <w:sz w:val="22"/>
                <w:szCs w:val="22"/>
              </w:rPr>
            </w:pPr>
            <w:r w:rsidRPr="0078357D">
              <w:rPr>
                <w:rFonts w:eastAsia="Times New Roman"/>
                <w:b/>
                <w:bCs/>
                <w:sz w:val="22"/>
                <w:szCs w:val="22"/>
                <w:lang w:eastAsia="pl-PL"/>
              </w:rPr>
              <w:t xml:space="preserve">Ad art. </w:t>
            </w:r>
            <w:r w:rsidR="00E12230" w:rsidRPr="0078357D">
              <w:rPr>
                <w:rFonts w:eastAsia="Times New Roman"/>
                <w:b/>
                <w:bCs/>
                <w:sz w:val="22"/>
                <w:szCs w:val="22"/>
                <w:lang w:eastAsia="pl-PL"/>
              </w:rPr>
              <w:t>33</w:t>
            </w:r>
            <w:r w:rsidRPr="0078357D">
              <w:rPr>
                <w:rFonts w:eastAsia="Times New Roman"/>
                <w:b/>
                <w:bCs/>
                <w:sz w:val="22"/>
                <w:szCs w:val="22"/>
                <w:lang w:eastAsia="pl-PL"/>
              </w:rPr>
              <w:t xml:space="preserve"> </w:t>
            </w:r>
            <w:r w:rsidR="00E12230" w:rsidRPr="0078357D">
              <w:rPr>
                <w:rFonts w:eastAsia="Times New Roman"/>
                <w:b/>
                <w:bCs/>
                <w:sz w:val="22"/>
                <w:szCs w:val="22"/>
                <w:lang w:eastAsia="pl-PL"/>
              </w:rPr>
              <w:t>pkt 6</w:t>
            </w:r>
            <w:r w:rsidRPr="0078357D">
              <w:rPr>
                <w:rFonts w:eastAsia="Times New Roman"/>
                <w:b/>
                <w:bCs/>
                <w:sz w:val="22"/>
                <w:szCs w:val="22"/>
                <w:lang w:eastAsia="pl-PL"/>
              </w:rPr>
              <w:t xml:space="preserve"> projektu</w:t>
            </w:r>
            <w:r w:rsidR="00E12230" w:rsidRPr="0078357D">
              <w:rPr>
                <w:rFonts w:eastAsia="Times New Roman"/>
                <w:sz w:val="22"/>
                <w:szCs w:val="22"/>
                <w:lang w:eastAsia="pl-PL"/>
              </w:rPr>
              <w:t xml:space="preserve"> – </w:t>
            </w:r>
            <w:r w:rsidR="00676E35" w:rsidRPr="0078357D">
              <w:rPr>
                <w:rFonts w:eastAsia="Times New Roman"/>
                <w:sz w:val="22"/>
                <w:szCs w:val="22"/>
                <w:lang w:eastAsia="pl-PL"/>
              </w:rPr>
              <w:t xml:space="preserve">należy </w:t>
            </w:r>
            <w:r w:rsidR="00E12230" w:rsidRPr="0078357D">
              <w:rPr>
                <w:rFonts w:eastAsia="Times New Roman"/>
                <w:sz w:val="22"/>
                <w:szCs w:val="22"/>
                <w:lang w:eastAsia="pl-PL"/>
              </w:rPr>
              <w:t>doprecyzować formę i dane, które powinno zawierać zestawienie dokonanych przez osobę zobowiązań płatności związanych z zaspokojeniem należności</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1131B709" w14:textId="785BF829" w:rsidR="00B74E81" w:rsidRDefault="00006E4B" w:rsidP="332585BD">
            <w:pPr>
              <w:snapToGrid w:val="0"/>
              <w:rPr>
                <w:color w:val="FF0000"/>
                <w:sz w:val="22"/>
                <w:szCs w:val="22"/>
              </w:rPr>
            </w:pPr>
            <w:r w:rsidRPr="00006E4B">
              <w:rPr>
                <w:rFonts w:eastAsia="Times New Roman"/>
                <w:b/>
                <w:bCs/>
                <w:sz w:val="22"/>
                <w:szCs w:val="22"/>
              </w:rPr>
              <w:t>Nie uwzględniono. Treść przepisu w ocenie projektodawcy nie budzi wątpliwości</w:t>
            </w:r>
            <w:r w:rsidR="7295DC02" w:rsidRPr="00006E4B">
              <w:rPr>
                <w:sz w:val="22"/>
                <w:szCs w:val="22"/>
              </w:rPr>
              <w:t>.</w:t>
            </w:r>
          </w:p>
        </w:tc>
      </w:tr>
      <w:tr w:rsidR="00A82C5F" w:rsidRPr="00DA1E27" w14:paraId="06E6E21D" w14:textId="77777777" w:rsidTr="00873465">
        <w:trPr>
          <w:trHeight w:val="1855"/>
          <w:jc w:val="center"/>
        </w:trPr>
        <w:tc>
          <w:tcPr>
            <w:tcW w:w="704" w:type="dxa"/>
            <w:tcBorders>
              <w:top w:val="single" w:sz="4" w:space="0" w:color="000000" w:themeColor="text1"/>
              <w:left w:val="single" w:sz="4" w:space="0" w:color="000000" w:themeColor="text1"/>
              <w:bottom w:val="single" w:sz="4" w:space="0" w:color="000000" w:themeColor="text1"/>
            </w:tcBorders>
          </w:tcPr>
          <w:p w14:paraId="6D8CD898" w14:textId="77777777" w:rsidR="00C07955" w:rsidRPr="007749DD" w:rsidRDefault="00C07955"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4F5E2F3C" w14:textId="39EE4647" w:rsidR="00C07955" w:rsidRPr="00AC64BA" w:rsidRDefault="002D6DF3" w:rsidP="00AC64BA">
            <w:pPr>
              <w:snapToGrid w:val="0"/>
              <w:jc w:val="both"/>
              <w:rPr>
                <w:sz w:val="22"/>
                <w:szCs w:val="22"/>
              </w:rPr>
            </w:pPr>
            <w:r w:rsidRPr="00AC64BA">
              <w:rPr>
                <w:sz w:val="22"/>
                <w:szCs w:val="22"/>
              </w:rPr>
              <w:t>Art. 49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B46FFEA" w14:textId="393B3AC4" w:rsidR="00C07955" w:rsidRPr="00AC64BA" w:rsidRDefault="002D6DF3" w:rsidP="00AC64BA">
            <w:pPr>
              <w:snapToGrid w:val="0"/>
              <w:jc w:val="both"/>
              <w:rPr>
                <w:sz w:val="22"/>
                <w:szCs w:val="22"/>
              </w:rPr>
            </w:pPr>
            <w:r w:rsidRPr="00AC64BA">
              <w:rPr>
                <w:sz w:val="22"/>
                <w:szCs w:val="22"/>
              </w:rPr>
              <w:t>Prokuratoria Generalna Rzeczpospolitej Polskiej</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1DD49C29" w14:textId="656932FB" w:rsidR="00C07955" w:rsidRPr="0078357D" w:rsidRDefault="002D6DF3" w:rsidP="00AC64BA">
            <w:pPr>
              <w:spacing w:after="80"/>
              <w:jc w:val="both"/>
              <w:rPr>
                <w:sz w:val="22"/>
                <w:szCs w:val="22"/>
              </w:rPr>
            </w:pPr>
            <w:r w:rsidRPr="0078357D">
              <w:rPr>
                <w:rFonts w:eastAsia="Times New Roman"/>
                <w:b/>
                <w:bCs/>
                <w:sz w:val="22"/>
                <w:szCs w:val="22"/>
                <w:lang w:eastAsia="pl-PL"/>
              </w:rPr>
              <w:t>Ad art. 49 ust. 1 projektu</w:t>
            </w:r>
            <w:r w:rsidRPr="0078357D">
              <w:rPr>
                <w:rFonts w:eastAsia="Times New Roman"/>
                <w:sz w:val="22"/>
                <w:szCs w:val="22"/>
                <w:lang w:eastAsia="pl-PL"/>
              </w:rPr>
              <w:t xml:space="preserve"> - proponuje się umożliwienie Komisji Nadzoru Finansowego nałożenie </w:t>
            </w:r>
            <w:r w:rsidRPr="0078357D">
              <w:rPr>
                <w:sz w:val="22"/>
                <w:szCs w:val="22"/>
              </w:rPr>
              <w:t>kary pieniężnej w m.in. przypadku stwierdzenia, że</w:t>
            </w:r>
            <w:r w:rsidRPr="0078357D">
              <w:rPr>
                <w:i/>
                <w:sz w:val="22"/>
                <w:szCs w:val="22"/>
              </w:rPr>
              <w:t xml:space="preserve"> </w:t>
            </w:r>
            <w:r w:rsidRPr="0078357D">
              <w:rPr>
                <w:sz w:val="22"/>
                <w:szCs w:val="22"/>
              </w:rPr>
              <w:t>przedsiębiorstwo windykacyjne</w:t>
            </w:r>
            <w:r w:rsidRPr="0078357D">
              <w:rPr>
                <w:i/>
                <w:sz w:val="22"/>
                <w:szCs w:val="22"/>
              </w:rPr>
              <w:t xml:space="preserve"> narusza interesy osób zobowiązanych</w:t>
            </w:r>
            <w:r w:rsidRPr="0078357D">
              <w:rPr>
                <w:sz w:val="22"/>
                <w:szCs w:val="22"/>
              </w:rPr>
              <w:t xml:space="preserve">. Mając na uwadze sankcyjny charakter przepisu, Prokuratoria zwraca uwagę na potrzebę dookreślenia </w:t>
            </w:r>
            <w:r w:rsidRPr="0078357D">
              <w:rPr>
                <w:rFonts w:eastAsia="Times New Roman"/>
                <w:sz w:val="22"/>
                <w:szCs w:val="22"/>
                <w:lang w:eastAsia="pl-PL"/>
              </w:rPr>
              <w:t xml:space="preserve">zachowań (działań lub zaniechań) przedsiębiorstwa windykacyjnego, uznawanych za naruszające interesy osób zobowiązanych, które mogą być podstawą nałożenia kary pieniężnej.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C044E4" w14:textId="7B246AF8" w:rsidR="00276EEF" w:rsidRPr="00B47EB6" w:rsidRDefault="00B47EB6" w:rsidP="00276EEF">
            <w:pPr>
              <w:snapToGrid w:val="0"/>
              <w:jc w:val="both"/>
              <w:rPr>
                <w:b/>
                <w:bCs/>
                <w:sz w:val="22"/>
                <w:szCs w:val="22"/>
              </w:rPr>
            </w:pPr>
            <w:r w:rsidRPr="00B47EB6">
              <w:rPr>
                <w:b/>
                <w:bCs/>
                <w:sz w:val="22"/>
                <w:szCs w:val="22"/>
              </w:rPr>
              <w:t>Częściowo uwzględniono poprzez doprecyzowanie przepisów w zakresie nadzoru</w:t>
            </w:r>
            <w:r w:rsidR="00160B45" w:rsidRPr="00B47EB6">
              <w:rPr>
                <w:b/>
                <w:bCs/>
                <w:sz w:val="22"/>
                <w:szCs w:val="22"/>
              </w:rPr>
              <w:t>.</w:t>
            </w:r>
          </w:p>
          <w:p w14:paraId="007796F5" w14:textId="2382FDE9" w:rsidR="00276EEF" w:rsidRPr="00DA1E27" w:rsidRDefault="00276EEF" w:rsidP="332585BD">
            <w:pPr>
              <w:snapToGrid w:val="0"/>
              <w:rPr>
                <w:color w:val="FF0000"/>
                <w:sz w:val="22"/>
                <w:szCs w:val="22"/>
              </w:rPr>
            </w:pPr>
          </w:p>
        </w:tc>
      </w:tr>
      <w:tr w:rsidR="00611C0A" w:rsidRPr="007749DD" w14:paraId="2F951024" w14:textId="77777777" w:rsidTr="00873465">
        <w:trPr>
          <w:trHeight w:val="276"/>
          <w:jc w:val="center"/>
        </w:trPr>
        <w:tc>
          <w:tcPr>
            <w:tcW w:w="704" w:type="dxa"/>
            <w:tcBorders>
              <w:top w:val="single" w:sz="4" w:space="0" w:color="000000" w:themeColor="text1"/>
              <w:left w:val="single" w:sz="4" w:space="0" w:color="000000" w:themeColor="text1"/>
              <w:bottom w:val="single" w:sz="4" w:space="0" w:color="000000" w:themeColor="text1"/>
            </w:tcBorders>
          </w:tcPr>
          <w:p w14:paraId="3591A14C" w14:textId="77777777" w:rsidR="00611C0A" w:rsidRPr="007749DD" w:rsidRDefault="00611C0A"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2EE5B069" w14:textId="399AA105" w:rsidR="00611C0A" w:rsidRPr="00AC64BA" w:rsidRDefault="00030934" w:rsidP="00AC64BA">
            <w:pPr>
              <w:snapToGrid w:val="0"/>
              <w:jc w:val="both"/>
              <w:rPr>
                <w:sz w:val="22"/>
                <w:szCs w:val="22"/>
              </w:rPr>
            </w:pPr>
            <w:r w:rsidRPr="00AC64BA">
              <w:rPr>
                <w:sz w:val="22"/>
                <w:szCs w:val="22"/>
              </w:rPr>
              <w:t>Art. 2 pkt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CAD70C8" w14:textId="795ECBC7" w:rsidR="00611C0A" w:rsidRPr="00AC64BA" w:rsidRDefault="00047DBB" w:rsidP="00AC64BA">
            <w:pPr>
              <w:snapToGrid w:val="0"/>
              <w:jc w:val="both"/>
              <w:rPr>
                <w:sz w:val="22"/>
                <w:szCs w:val="22"/>
              </w:rPr>
            </w:pPr>
            <w:r w:rsidRPr="00AC64BA">
              <w:rPr>
                <w:sz w:val="22"/>
                <w:szCs w:val="22"/>
              </w:rPr>
              <w:t>Rzecznik Finansowy</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64CC6AD1" w14:textId="60186D29" w:rsidR="00611C0A" w:rsidRPr="0078357D" w:rsidRDefault="00030934" w:rsidP="00AC64BA">
            <w:pPr>
              <w:spacing w:after="80"/>
              <w:jc w:val="both"/>
              <w:rPr>
                <w:rFonts w:eastAsia="Times New Roman"/>
                <w:sz w:val="22"/>
                <w:szCs w:val="22"/>
                <w:lang w:eastAsia="pl-PL"/>
              </w:rPr>
            </w:pPr>
            <w:r w:rsidRPr="0078357D">
              <w:rPr>
                <w:b/>
                <w:bCs/>
                <w:sz w:val="22"/>
                <w:szCs w:val="22"/>
              </w:rPr>
              <w:t>Ad art. 2 pkt 4 projektu</w:t>
            </w:r>
            <w:r w:rsidRPr="0078357D">
              <w:rPr>
                <w:sz w:val="22"/>
                <w:szCs w:val="22"/>
              </w:rPr>
              <w:t xml:space="preserve"> – proponuje się poszerzenie definicji „osoby zobowiązanej” w ten sposób, aby definicja obejmowała poza „konsumentami” i „rolnikami indywidualnymi” także  inne osoby fizyczne tj. wszystkie osoby </w:t>
            </w:r>
            <w:proofErr w:type="spellStart"/>
            <w:r w:rsidRPr="0078357D">
              <w:rPr>
                <w:sz w:val="22"/>
                <w:szCs w:val="22"/>
              </w:rPr>
              <w:t>fizyczn</w:t>
            </w:r>
            <w:proofErr w:type="spellEnd"/>
            <w:r w:rsidRPr="0078357D">
              <w:rPr>
                <w:sz w:val="22"/>
                <w:szCs w:val="22"/>
              </w:rPr>
              <w:t xml:space="preserve">, wobec których podejmowane są czynności windykacyjne. W ustawie z dnia 5 sierpnia 2015 r. o rozpatrywaniu reklamacji przez podmioty rynku finansowego i o Rzeczniku Finansowym (Dz. U.  z 2022 r., poz. 187), klientem podmiotu rynku finansowego jest nie tylko konsument </w:t>
            </w:r>
            <w:r w:rsidR="00A123AF" w:rsidRPr="0078357D">
              <w:rPr>
                <w:sz w:val="22"/>
                <w:szCs w:val="22"/>
              </w:rPr>
              <w:t xml:space="preserve">będący klientem danego podmiotu, ale każda osoba fizyczna będąca klientem danego podmiotu. Ze względu na fakt, iż osobami zobowiązanymi często będą </w:t>
            </w:r>
            <w:r w:rsidR="00A123AF" w:rsidRPr="0078357D">
              <w:rPr>
                <w:sz w:val="22"/>
                <w:szCs w:val="22"/>
              </w:rPr>
              <w:lastRenderedPageBreak/>
              <w:t xml:space="preserve">osoby, które wcześniej były lub są klientami podmiotu rynku finansowego, wskazane jest zachowanie symetrii w zakresie definicji klienta podmiotu rynku finansowego oraz definicji osoby zobowiązanej. Warto zauważyć, że czynności windykacyjne nierzadko będą odnosić się do wierzytelności związanych z działalnością podmiotów rynku </w:t>
            </w:r>
            <w:proofErr w:type="spellStart"/>
            <w:r w:rsidR="00A123AF" w:rsidRPr="0078357D">
              <w:rPr>
                <w:sz w:val="22"/>
                <w:szCs w:val="22"/>
              </w:rPr>
              <w:t>foinansowego</w:t>
            </w:r>
            <w:proofErr w:type="spellEnd"/>
            <w:r w:rsidR="00A123AF" w:rsidRPr="0078357D">
              <w:rPr>
                <w:sz w:val="22"/>
                <w:szCs w:val="22"/>
              </w:rPr>
              <w:t xml:space="preserve"> (składki ubezpieczeniowe, spłata kredytu, wierzytelność nabyta w </w:t>
            </w:r>
            <w:proofErr w:type="spellStart"/>
            <w:r w:rsidR="00A123AF" w:rsidRPr="0078357D">
              <w:rPr>
                <w:sz w:val="22"/>
                <w:szCs w:val="22"/>
              </w:rPr>
              <w:t>drdze</w:t>
            </w:r>
            <w:proofErr w:type="spellEnd"/>
            <w:r w:rsidR="00A123AF" w:rsidRPr="0078357D">
              <w:rPr>
                <w:sz w:val="22"/>
                <w:szCs w:val="22"/>
              </w:rPr>
              <w:t xml:space="preserve"> cesji).</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124D6B" w14:textId="1CB3DE8D" w:rsidR="00611C0A" w:rsidRPr="00B52706" w:rsidRDefault="00DA1E27" w:rsidP="00B52706">
            <w:pPr>
              <w:snapToGrid w:val="0"/>
              <w:jc w:val="both"/>
              <w:rPr>
                <w:b/>
                <w:bCs/>
                <w:sz w:val="22"/>
                <w:szCs w:val="22"/>
              </w:rPr>
            </w:pPr>
            <w:r w:rsidRPr="00B52706">
              <w:rPr>
                <w:b/>
                <w:bCs/>
                <w:sz w:val="22"/>
                <w:szCs w:val="22"/>
              </w:rPr>
              <w:lastRenderedPageBreak/>
              <w:t>Nie uwzględniono.</w:t>
            </w:r>
          </w:p>
          <w:p w14:paraId="46217301" w14:textId="77777777" w:rsidR="00E04B7A" w:rsidRPr="00B52706" w:rsidRDefault="00E04B7A" w:rsidP="00B52706">
            <w:pPr>
              <w:snapToGrid w:val="0"/>
              <w:jc w:val="both"/>
              <w:rPr>
                <w:b/>
                <w:bCs/>
                <w:sz w:val="22"/>
                <w:szCs w:val="22"/>
              </w:rPr>
            </w:pPr>
          </w:p>
          <w:p w14:paraId="112ABCAE" w14:textId="35854147" w:rsidR="00E04B7A" w:rsidRPr="00B52706" w:rsidRDefault="00E04B7A" w:rsidP="00B52706">
            <w:pPr>
              <w:snapToGrid w:val="0"/>
              <w:jc w:val="both"/>
              <w:rPr>
                <w:sz w:val="22"/>
                <w:szCs w:val="22"/>
              </w:rPr>
            </w:pPr>
            <w:r w:rsidRPr="00B52706">
              <w:rPr>
                <w:sz w:val="22"/>
                <w:szCs w:val="22"/>
              </w:rPr>
              <w:t xml:space="preserve">Projekt ustawy przewiduje ochronę dla podmiotów, które mają słabszą pozycję w danym stosunku prawnym, tj. konsumentów oraz rolników </w:t>
            </w:r>
            <w:proofErr w:type="spellStart"/>
            <w:r w:rsidRPr="00B52706">
              <w:rPr>
                <w:sz w:val="22"/>
                <w:szCs w:val="22"/>
              </w:rPr>
              <w:t>indywidualnch</w:t>
            </w:r>
            <w:proofErr w:type="spellEnd"/>
            <w:r w:rsidRPr="00B52706">
              <w:rPr>
                <w:sz w:val="22"/>
                <w:szCs w:val="22"/>
              </w:rPr>
              <w:t xml:space="preserve">. Aktualna definicja konsumenta </w:t>
            </w:r>
            <w:r w:rsidR="005B4003" w:rsidRPr="00B52706">
              <w:rPr>
                <w:sz w:val="22"/>
                <w:szCs w:val="22"/>
              </w:rPr>
              <w:t xml:space="preserve">jest szeroka i uwzględnia </w:t>
            </w:r>
            <w:r w:rsidR="005B4003" w:rsidRPr="00B52706">
              <w:rPr>
                <w:sz w:val="22"/>
                <w:szCs w:val="22"/>
              </w:rPr>
              <w:lastRenderedPageBreak/>
              <w:t>również w znacznym zakresie przedsiębiorców (Zgodnie z art. 22(1) k.c. za konsumenta uważa się osobę fizyczną dokonującą z przedsiębiorcą czynności prawnej niezwiązanej bezpośrednio z jej działalnością gospodarczą lub zawodową).</w:t>
            </w:r>
          </w:p>
        </w:tc>
      </w:tr>
      <w:tr w:rsidR="002D6DF3" w:rsidRPr="007749DD" w14:paraId="3B9F3E4B" w14:textId="77777777" w:rsidTr="00873465">
        <w:trPr>
          <w:trHeight w:val="276"/>
          <w:jc w:val="center"/>
        </w:trPr>
        <w:tc>
          <w:tcPr>
            <w:tcW w:w="704" w:type="dxa"/>
            <w:tcBorders>
              <w:top w:val="single" w:sz="4" w:space="0" w:color="000000" w:themeColor="text1"/>
              <w:left w:val="single" w:sz="4" w:space="0" w:color="000000" w:themeColor="text1"/>
              <w:bottom w:val="single" w:sz="4" w:space="0" w:color="000000" w:themeColor="text1"/>
            </w:tcBorders>
          </w:tcPr>
          <w:p w14:paraId="5DD38317" w14:textId="77777777" w:rsidR="002D6DF3" w:rsidRPr="007749DD" w:rsidRDefault="002D6DF3"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1658E465" w14:textId="07CED92F" w:rsidR="002D6DF3" w:rsidRPr="00AC64BA" w:rsidRDefault="00C8757E" w:rsidP="00AC64BA">
            <w:pPr>
              <w:snapToGrid w:val="0"/>
              <w:jc w:val="both"/>
              <w:rPr>
                <w:sz w:val="22"/>
                <w:szCs w:val="22"/>
              </w:rPr>
            </w:pPr>
            <w:r w:rsidRPr="00AC64BA">
              <w:rPr>
                <w:sz w:val="22"/>
                <w:szCs w:val="22"/>
              </w:rPr>
              <w:t>Art. 8 ust. 3 pkt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B3EC4C4" w14:textId="3C903F8F" w:rsidR="002D6DF3" w:rsidRPr="00AC64BA" w:rsidRDefault="00C8757E" w:rsidP="00AC64BA">
            <w:pPr>
              <w:snapToGrid w:val="0"/>
              <w:jc w:val="both"/>
              <w:rPr>
                <w:sz w:val="22"/>
                <w:szCs w:val="22"/>
              </w:rPr>
            </w:pPr>
            <w:r w:rsidRPr="00AC64BA">
              <w:rPr>
                <w:sz w:val="22"/>
                <w:szCs w:val="22"/>
              </w:rPr>
              <w:t>Urząd Ochrony Danych Osobowych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620F7761" w14:textId="6A646F93" w:rsidR="00C8757E" w:rsidRPr="0078357D" w:rsidRDefault="00C8757E" w:rsidP="00AC64BA">
            <w:pPr>
              <w:suppressAutoHyphens w:val="0"/>
              <w:autoSpaceDE w:val="0"/>
              <w:autoSpaceDN w:val="0"/>
              <w:adjustRightInd w:val="0"/>
              <w:jc w:val="both"/>
              <w:rPr>
                <w:sz w:val="22"/>
                <w:szCs w:val="22"/>
              </w:rPr>
            </w:pPr>
            <w:r w:rsidRPr="0078357D">
              <w:rPr>
                <w:b/>
                <w:bCs/>
                <w:sz w:val="22"/>
                <w:szCs w:val="22"/>
                <w:lang w:eastAsia="pl-PL"/>
              </w:rPr>
              <w:t>Ad. art. 8 ust. 3 pkt 3 projektu</w:t>
            </w:r>
            <w:r w:rsidRPr="0078357D">
              <w:rPr>
                <w:sz w:val="22"/>
                <w:szCs w:val="22"/>
                <w:lang w:eastAsia="pl-PL"/>
              </w:rPr>
              <w:t xml:space="preserve"> - wniosek o wydanie zezwolenia na prowadzenie działalności windykacyjnej zawiera </w:t>
            </w:r>
            <w:r w:rsidRPr="0078357D">
              <w:rPr>
                <w:i/>
                <w:iCs/>
                <w:sz w:val="22"/>
                <w:szCs w:val="22"/>
                <w:lang w:eastAsia="pl-PL"/>
              </w:rPr>
              <w:t>dane członków organu zarządzającego oraz organu nadzorczego spółki</w:t>
            </w:r>
            <w:r w:rsidRPr="0078357D">
              <w:rPr>
                <w:sz w:val="22"/>
                <w:szCs w:val="22"/>
                <w:lang w:eastAsia="pl-PL"/>
              </w:rPr>
              <w:t>. Użyte w projektowanym przepisie pojęcie „dane” ma charakter nieostry. Art. 8 ust. 3 pkt 3 projektu ustawy powinien zawierać enumeratywny katalog danych osobowych dla zachowania zgodności z zasadą zgodności z prawem, rzetelności i przejrzystości (art. 5 ust. 1 lit. a rozporządzenia 2016/679</w:t>
            </w:r>
            <w:r w:rsidR="00930D42" w:rsidRPr="0078357D">
              <w:rPr>
                <w:sz w:val="22"/>
                <w:szCs w:val="22"/>
                <w:lang w:eastAsia="pl-PL"/>
              </w:rPr>
              <w:t xml:space="preserve"> – zgodnie z zasadą zgodności z prawem, rzetelności i przejrzystości dane osobowe muszą być przetwarzane zgodnie z prawem, rzetelnie i w sposób przejrzysty dla osoby, której dane dotyczą</w:t>
            </w:r>
            <w:r w:rsidRPr="0078357D">
              <w:rPr>
                <w:sz w:val="22"/>
                <w:szCs w:val="22"/>
                <w:lang w:eastAsia="pl-PL"/>
              </w:rPr>
              <w:t>), zasadą ograniczenia celu (art. 5 ust. 1 lit. b rozporządzenia 2016/679</w:t>
            </w:r>
            <w:r w:rsidR="00930D42" w:rsidRPr="0078357D">
              <w:rPr>
                <w:sz w:val="22"/>
                <w:szCs w:val="22"/>
                <w:lang w:eastAsia="pl-PL"/>
              </w:rPr>
              <w:t xml:space="preserve"> – zgodnie z zasadą ograniczenia celu dane osobowe muszą być zbierane w konkretnych, wyraźnych i prawnie uzasadnionych celach i nieprzetwarzane dalej w sposób niezgodny z tymi celami; dalsze przetwarzanie do celów archiwalnych w interesie publicznym, do celów badań naukowych lub historycznych lub do celów statystycznych nie jest uznawane w myśl art. 89 ust. 1 za niezgodne z pierwotnymi celami</w:t>
            </w:r>
            <w:r w:rsidRPr="0078357D">
              <w:rPr>
                <w:sz w:val="22"/>
                <w:szCs w:val="22"/>
                <w:lang w:eastAsia="pl-PL"/>
              </w:rPr>
              <w:t>) oraz zasadą minimalizacji danych (art. 5 ust. 1 lit. c</w:t>
            </w:r>
            <w:r w:rsidR="00930D42" w:rsidRPr="0078357D">
              <w:rPr>
                <w:sz w:val="22"/>
                <w:szCs w:val="22"/>
                <w:lang w:eastAsia="pl-PL"/>
              </w:rPr>
              <w:t xml:space="preserve"> </w:t>
            </w:r>
            <w:r w:rsidRPr="0078357D">
              <w:rPr>
                <w:sz w:val="22"/>
                <w:szCs w:val="22"/>
                <w:lang w:eastAsia="pl-PL"/>
              </w:rPr>
              <w:t>rozporządzenia 2016/679</w:t>
            </w:r>
            <w:r w:rsidR="00930D42" w:rsidRPr="0078357D">
              <w:rPr>
                <w:sz w:val="22"/>
                <w:szCs w:val="22"/>
                <w:lang w:eastAsia="pl-PL"/>
              </w:rPr>
              <w:t xml:space="preserve"> – zgodnie z zasadą minimalizacji danych dane osobowe muszą być adekwatne, stosowne oraz ograniczone do tego, co niezbędne do celów, w których są przetwarzane</w:t>
            </w:r>
            <w:r w:rsidRPr="0078357D">
              <w:rPr>
                <w:sz w:val="22"/>
                <w:szCs w:val="22"/>
                <w:lang w:eastAsia="pl-PL"/>
              </w:rPr>
              <w:t>).</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63BEE6" w14:textId="14FD8B73" w:rsidR="002D6DF3" w:rsidRPr="00B47EB6" w:rsidRDefault="00B52706" w:rsidP="6F78DE72">
            <w:pPr>
              <w:snapToGrid w:val="0"/>
              <w:rPr>
                <w:b/>
                <w:bCs/>
                <w:sz w:val="22"/>
                <w:szCs w:val="22"/>
              </w:rPr>
            </w:pPr>
            <w:r w:rsidRPr="00B47EB6">
              <w:rPr>
                <w:b/>
                <w:bCs/>
                <w:sz w:val="22"/>
                <w:szCs w:val="22"/>
              </w:rPr>
              <w:t>U</w:t>
            </w:r>
            <w:r w:rsidR="3EE42442" w:rsidRPr="00B47EB6">
              <w:rPr>
                <w:b/>
                <w:bCs/>
                <w:sz w:val="22"/>
                <w:szCs w:val="22"/>
              </w:rPr>
              <w:t>względni</w:t>
            </w:r>
            <w:r w:rsidRPr="00B47EB6">
              <w:rPr>
                <w:b/>
                <w:bCs/>
                <w:sz w:val="22"/>
                <w:szCs w:val="22"/>
              </w:rPr>
              <w:t>o</w:t>
            </w:r>
            <w:r w:rsidR="3EE42442" w:rsidRPr="00B47EB6">
              <w:rPr>
                <w:b/>
                <w:bCs/>
                <w:sz w:val="22"/>
                <w:szCs w:val="22"/>
              </w:rPr>
              <w:t>n</w:t>
            </w:r>
            <w:r w:rsidRPr="00B47EB6">
              <w:rPr>
                <w:b/>
                <w:bCs/>
                <w:sz w:val="22"/>
                <w:szCs w:val="22"/>
              </w:rPr>
              <w:t>o</w:t>
            </w:r>
            <w:r w:rsidR="3EE42442" w:rsidRPr="00B47EB6">
              <w:rPr>
                <w:b/>
                <w:bCs/>
                <w:sz w:val="22"/>
                <w:szCs w:val="22"/>
              </w:rPr>
              <w:t>.</w:t>
            </w:r>
          </w:p>
        </w:tc>
      </w:tr>
      <w:tr w:rsidR="00484BE4" w:rsidRPr="007749DD" w14:paraId="0C3C47FD" w14:textId="77777777" w:rsidTr="00873465">
        <w:trPr>
          <w:trHeight w:val="276"/>
          <w:jc w:val="center"/>
        </w:trPr>
        <w:tc>
          <w:tcPr>
            <w:tcW w:w="704" w:type="dxa"/>
            <w:tcBorders>
              <w:top w:val="single" w:sz="4" w:space="0" w:color="000000" w:themeColor="text1"/>
              <w:left w:val="single" w:sz="4" w:space="0" w:color="000000" w:themeColor="text1"/>
              <w:bottom w:val="single" w:sz="4" w:space="0" w:color="000000" w:themeColor="text1"/>
            </w:tcBorders>
          </w:tcPr>
          <w:p w14:paraId="1DBE3C8E" w14:textId="77777777" w:rsidR="00484BE4" w:rsidRPr="007749DD" w:rsidRDefault="00484BE4"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2625DD3E" w14:textId="4355754D" w:rsidR="00484BE4" w:rsidRPr="00AC64BA" w:rsidRDefault="00484BE4" w:rsidP="00AC64BA">
            <w:pPr>
              <w:snapToGrid w:val="0"/>
              <w:jc w:val="both"/>
              <w:rPr>
                <w:sz w:val="22"/>
                <w:szCs w:val="22"/>
              </w:rPr>
            </w:pPr>
            <w:r w:rsidRPr="00AC64BA">
              <w:rPr>
                <w:sz w:val="22"/>
                <w:szCs w:val="22"/>
              </w:rPr>
              <w:t xml:space="preserve">Art. 11 ust. 3 pkt </w:t>
            </w:r>
            <w:r w:rsidR="00C627C1" w:rsidRPr="00AC64BA">
              <w:rPr>
                <w:sz w:val="22"/>
                <w:szCs w:val="22"/>
              </w:rPr>
              <w:t>1 lit. b</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5A55C35" w14:textId="6A37A37E" w:rsidR="00484BE4" w:rsidRPr="00AC64BA" w:rsidRDefault="00484BE4" w:rsidP="00AC64BA">
            <w:pPr>
              <w:snapToGrid w:val="0"/>
              <w:jc w:val="both"/>
              <w:rPr>
                <w:sz w:val="22"/>
                <w:szCs w:val="22"/>
              </w:rPr>
            </w:pPr>
            <w:r w:rsidRPr="00AC64BA">
              <w:rPr>
                <w:sz w:val="22"/>
                <w:szCs w:val="22"/>
              </w:rPr>
              <w:t>Urząd Ochrony Danych Osobowych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03CF1814" w14:textId="3B34EE74" w:rsidR="00484BE4" w:rsidRPr="0078357D" w:rsidRDefault="00484BE4" w:rsidP="00AC64BA">
            <w:pPr>
              <w:suppressAutoHyphens w:val="0"/>
              <w:autoSpaceDE w:val="0"/>
              <w:autoSpaceDN w:val="0"/>
              <w:adjustRightInd w:val="0"/>
              <w:jc w:val="both"/>
              <w:rPr>
                <w:sz w:val="22"/>
                <w:szCs w:val="22"/>
                <w:lang w:eastAsia="pl-PL"/>
              </w:rPr>
            </w:pPr>
            <w:r w:rsidRPr="0078357D">
              <w:rPr>
                <w:b/>
                <w:bCs/>
                <w:sz w:val="22"/>
                <w:szCs w:val="22"/>
                <w:lang w:eastAsia="pl-PL"/>
              </w:rPr>
              <w:t>Ad art. 11 ust. 3 pkt 1 lit b projektu</w:t>
            </w:r>
            <w:r w:rsidRPr="0078357D">
              <w:rPr>
                <w:sz w:val="22"/>
                <w:szCs w:val="22"/>
                <w:lang w:eastAsia="pl-PL"/>
              </w:rPr>
              <w:t xml:space="preserve"> </w:t>
            </w:r>
            <w:r w:rsidR="00FC5AAB" w:rsidRPr="0078357D">
              <w:rPr>
                <w:sz w:val="22"/>
                <w:szCs w:val="22"/>
                <w:lang w:eastAsia="pl-PL"/>
              </w:rPr>
              <w:t>–</w:t>
            </w:r>
            <w:r w:rsidRPr="0078357D">
              <w:rPr>
                <w:sz w:val="22"/>
                <w:szCs w:val="22"/>
                <w:lang w:eastAsia="pl-PL"/>
              </w:rPr>
              <w:t xml:space="preserve"> </w:t>
            </w:r>
            <w:r w:rsidR="00FC5AAB" w:rsidRPr="0078357D">
              <w:rPr>
                <w:sz w:val="22"/>
                <w:szCs w:val="22"/>
                <w:lang w:eastAsia="pl-PL"/>
              </w:rPr>
              <w:t xml:space="preserve">analogicznie jak w wierszu 11 - </w:t>
            </w:r>
            <w:r w:rsidR="00AB53FA" w:rsidRPr="0078357D">
              <w:rPr>
                <w:sz w:val="22"/>
                <w:szCs w:val="22"/>
                <w:lang w:eastAsia="pl-PL"/>
              </w:rPr>
              <w:t xml:space="preserve">wniosek o wydanie zezwolenia na prowadzenie działalności windykacyjnej zawiera </w:t>
            </w:r>
            <w:r w:rsidR="00AB53FA" w:rsidRPr="0078357D">
              <w:rPr>
                <w:i/>
                <w:iCs/>
                <w:sz w:val="22"/>
                <w:szCs w:val="22"/>
                <w:lang w:eastAsia="pl-PL"/>
              </w:rPr>
              <w:t>dane członków organu zarządzającego oraz organu nadzorczego spółki</w:t>
            </w:r>
            <w:r w:rsidR="00AB53FA" w:rsidRPr="0078357D">
              <w:rPr>
                <w:sz w:val="22"/>
                <w:szCs w:val="22"/>
                <w:lang w:eastAsia="pl-PL"/>
              </w:rPr>
              <w:t xml:space="preserve">. Użyte w projektowanym przepisie pojęcie „dane” ma charakter nieostry. Art. 8 ust. 3 pkt 3 projektu ustawy powinien zawierać enumeratywny katalog danych osobowych dla zachowania zgodności z zasadą zgodności z prawem, rzetelności i przejrzystości (art. 5 ust. 1 lit. a rozporządzenia 2016/679 – zgodnie z zasadą zgodności z prawem, rzetelności i przejrzystości dane osobowe muszą być przetwarzane zgodnie z prawem, rzetelnie i w sposób przejrzysty dla osoby, której dane dotyczą), zasadą ograniczenia celu (art. 5 ust. 1 lit. b rozporządzenia 2016/679 – zgodnie z zasadą ograniczenia celu dane osobowe muszą być zbierane w konkretnych, wyraźnych i prawnie uzasadnionych celach i nieprzetwarzane dalej w sposób niezgodny z tymi celami; dalsze przetwarzanie do celów archiwalnych w interesie publicznym, do celów badań naukowych lub historycznych lub do celów statystycznych nie jest uznawane w myśl art. 89 ust. 1 za niezgodne z pierwotnymi celami) oraz zasadą minimalizacji danych (art. 5 ust. 1 lit. c rozporządzenia </w:t>
            </w:r>
            <w:r w:rsidR="00AB53FA" w:rsidRPr="0078357D">
              <w:rPr>
                <w:sz w:val="22"/>
                <w:szCs w:val="22"/>
                <w:lang w:eastAsia="pl-PL"/>
              </w:rPr>
              <w:lastRenderedPageBreak/>
              <w:t>2016/679 – zgodnie z zasadą minimalizacji danych dane osobowe muszą być adekwatne, stosowne oraz ograniczone do tego, co niezbędne do celów, w których są przetwarzane).</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DB5AEF" w14:textId="703E56FA" w:rsidR="00484BE4" w:rsidRPr="00B47EB6" w:rsidRDefault="00B52706" w:rsidP="6F78DE72">
            <w:pPr>
              <w:snapToGrid w:val="0"/>
              <w:rPr>
                <w:b/>
                <w:bCs/>
                <w:sz w:val="22"/>
                <w:szCs w:val="22"/>
              </w:rPr>
            </w:pPr>
            <w:r w:rsidRPr="00B47EB6">
              <w:rPr>
                <w:b/>
                <w:bCs/>
                <w:sz w:val="22"/>
                <w:szCs w:val="22"/>
              </w:rPr>
              <w:lastRenderedPageBreak/>
              <w:t>Uwzględniono.</w:t>
            </w:r>
          </w:p>
        </w:tc>
      </w:tr>
      <w:tr w:rsidR="00C8757E" w:rsidRPr="007749DD" w14:paraId="7B795D0B" w14:textId="77777777" w:rsidTr="00873465">
        <w:trPr>
          <w:trHeight w:val="276"/>
          <w:jc w:val="center"/>
        </w:trPr>
        <w:tc>
          <w:tcPr>
            <w:tcW w:w="704" w:type="dxa"/>
            <w:tcBorders>
              <w:top w:val="single" w:sz="4" w:space="0" w:color="000000" w:themeColor="text1"/>
              <w:left w:val="single" w:sz="4" w:space="0" w:color="000000" w:themeColor="text1"/>
              <w:bottom w:val="single" w:sz="4" w:space="0" w:color="000000" w:themeColor="text1"/>
            </w:tcBorders>
          </w:tcPr>
          <w:p w14:paraId="37BD1482" w14:textId="77777777" w:rsidR="00C8757E" w:rsidRPr="00CA4923" w:rsidRDefault="00C8757E"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6BC88BBA" w14:textId="3B0C8C37" w:rsidR="00C8757E" w:rsidRPr="00AC64BA" w:rsidRDefault="00F3050A" w:rsidP="00AC64BA">
            <w:pPr>
              <w:snapToGrid w:val="0"/>
              <w:jc w:val="both"/>
              <w:rPr>
                <w:sz w:val="22"/>
                <w:szCs w:val="22"/>
              </w:rPr>
            </w:pPr>
            <w:r w:rsidRPr="00AC64BA">
              <w:rPr>
                <w:sz w:val="22"/>
                <w:szCs w:val="22"/>
                <w:lang w:eastAsia="pl-PL"/>
              </w:rPr>
              <w:t>Art. 8 ust. 3 pkt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7A549DF" w14:textId="7885A989" w:rsidR="00C8757E" w:rsidRPr="00AC64BA" w:rsidRDefault="00F3050A" w:rsidP="00AC64BA">
            <w:pPr>
              <w:snapToGrid w:val="0"/>
              <w:jc w:val="both"/>
              <w:rPr>
                <w:sz w:val="22"/>
                <w:szCs w:val="22"/>
              </w:rPr>
            </w:pPr>
            <w:r w:rsidRPr="00AC64BA">
              <w:rPr>
                <w:sz w:val="22"/>
                <w:szCs w:val="22"/>
              </w:rPr>
              <w:t>Urząd Ochrony Danych Osobowych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69A6F4A1" w14:textId="53D2301E" w:rsidR="00F3050A" w:rsidRPr="0078357D" w:rsidRDefault="00F3050A" w:rsidP="00AC64BA">
            <w:pPr>
              <w:suppressAutoHyphens w:val="0"/>
              <w:autoSpaceDE w:val="0"/>
              <w:autoSpaceDN w:val="0"/>
              <w:adjustRightInd w:val="0"/>
              <w:jc w:val="both"/>
              <w:rPr>
                <w:sz w:val="22"/>
                <w:szCs w:val="22"/>
                <w:lang w:eastAsia="pl-PL"/>
              </w:rPr>
            </w:pPr>
            <w:r w:rsidRPr="0078357D">
              <w:rPr>
                <w:b/>
                <w:bCs/>
                <w:sz w:val="22"/>
                <w:szCs w:val="22"/>
                <w:lang w:eastAsia="pl-PL"/>
              </w:rPr>
              <w:t>Ad art. 8 ust. 3 pkt 4 projektu</w:t>
            </w:r>
            <w:r w:rsidRPr="0078357D">
              <w:rPr>
                <w:sz w:val="22"/>
                <w:szCs w:val="22"/>
                <w:lang w:eastAsia="pl-PL"/>
              </w:rPr>
              <w:t xml:space="preserve"> - wniosek o wydanie zezwolenia na prowadzenie działalności windykacyjnej zawiera </w:t>
            </w:r>
            <w:r w:rsidRPr="0078357D">
              <w:rPr>
                <w:i/>
                <w:iCs/>
                <w:sz w:val="22"/>
                <w:szCs w:val="22"/>
                <w:lang w:eastAsia="pl-PL"/>
              </w:rPr>
              <w:t>aktualne zaświadczenie, że osoby wchodzące w skład organu zarządzającego oraz organu nadzorczego nie były skazana za umyślne przestępstwo lub umyślne przestępstwo skarbowe na terytorium państwa członkowskiego Unii Europejskiej lub państwa członkowskiego Europejskiego Stowarzyszenia Wolnego Handlu (EFTA) – strony umowy o Europejskim Obszarze Gospodarczym</w:t>
            </w:r>
            <w:r w:rsidRPr="0078357D">
              <w:rPr>
                <w:sz w:val="22"/>
                <w:szCs w:val="22"/>
                <w:lang w:eastAsia="pl-PL"/>
              </w:rPr>
              <w:t>. Projektowany przepis jest niejasny - z jego literalnego brzmienia wynika, że osoby wchodzące w skład organu zarządzającego oraz organu nadzorczego osoby prawnej ubiegającej się o prowadzenie działalności windykacyjnej powinny przedstawić zaświadczenie pochodzące z każdego państwa członkowskiego UE i EFTA, gdyż projektowany przepis nie wskazuje, że ma to być zaświadczenie pochodzące z właściwego organu państwa siedziby osoby prawnej. Dodatkowo, projektowany przepis wskazuje na zaświadczenie jako jeden dokument dotyczący wszystkich osób wchodzących w skład organu zarządzającego oraz organu nadzorczego osoby prawnej. Ustawa z dnia 24 maja 2000 r. o Krajowym Rejestrze Karnym (Dz. U. z 2021 r. poz. 1709, z późn. zm.) przewiduje jedynie przekazywanie informacji indywidualnie (o jednaj osobie), nie jest możliwe zatem uzyskanie z KRK zbiorowego zaświadczenia o wielu osobach. Dodatkowo, organ nadzorczy pragnie wskazać, że jeżeli możliwe jest wskazanie rejestru, z którego ma być pozyskiwana informacja o niekaralności</w:t>
            </w:r>
            <w:r w:rsidR="00736E19">
              <w:rPr>
                <w:sz w:val="22"/>
                <w:szCs w:val="22"/>
                <w:lang w:eastAsia="pl-PL"/>
              </w:rPr>
              <w:t xml:space="preserve"> </w:t>
            </w:r>
            <w:r w:rsidRPr="0078357D">
              <w:rPr>
                <w:sz w:val="22"/>
                <w:szCs w:val="22"/>
                <w:lang w:eastAsia="pl-PL"/>
              </w:rPr>
              <w:t>osoby, to w myśl zasady wyrażonej w art. 10 rozporządzenia 2016/679</w:t>
            </w:r>
            <w:r w:rsidR="00364E7B" w:rsidRPr="0078357D">
              <w:rPr>
                <w:sz w:val="22"/>
                <w:szCs w:val="22"/>
                <w:lang w:eastAsia="pl-PL"/>
              </w:rPr>
              <w:t xml:space="preserve"> - zgodnie z art. 10 rozporządzenia 2016/679 Przetwarzania danych osobowych dotyczących wyroków skazujących oraz naruszeń prawa lub powiązanych środków bezpieczeństwa na podstawie art. 6 ust. 1 wolno dokonywać wyłącznie pod nadzorem władz publicznych lub jeżeli przetwarzanie jest dozwolone prawem Unii lub prawem państwa </w:t>
            </w:r>
            <w:proofErr w:type="spellStart"/>
            <w:r w:rsidR="00364E7B" w:rsidRPr="0078357D">
              <w:rPr>
                <w:sz w:val="22"/>
                <w:szCs w:val="22"/>
                <w:lang w:eastAsia="pl-PL"/>
              </w:rPr>
              <w:t>członkowskiegoprzewidującymi</w:t>
            </w:r>
            <w:proofErr w:type="spellEnd"/>
            <w:r w:rsidR="00364E7B" w:rsidRPr="0078357D">
              <w:rPr>
                <w:sz w:val="22"/>
                <w:szCs w:val="22"/>
                <w:lang w:eastAsia="pl-PL"/>
              </w:rPr>
              <w:t xml:space="preserve"> odpowiednie zabezpieczenia praw i wolności osób, których dane dotyczą. Wszelkie kompletne rejestry wyroków skazujących są prowadzone wyłącznie pod nadzorem władz publicznych</w:t>
            </w:r>
            <w:r w:rsidRPr="0078357D">
              <w:rPr>
                <w:sz w:val="22"/>
                <w:szCs w:val="22"/>
                <w:lang w:eastAsia="pl-PL"/>
              </w:rPr>
              <w:t xml:space="preserve"> oraz z zasady zgodności z prawem, rzetelności i przejrzystości (art. 5 ust. 1 lit. a rozporządzenia 2016/679) projektowany art. 8 ust. 3 pkt 4 ustawy powinien wskazywać na ten rejestr, w przypadku obywateli Polski powinien być to KRK.</w:t>
            </w:r>
          </w:p>
          <w:p w14:paraId="6B0FA7AE" w14:textId="289D9A94" w:rsidR="00F3050A" w:rsidRPr="0078357D" w:rsidRDefault="00F3050A" w:rsidP="00AC64BA">
            <w:pPr>
              <w:suppressAutoHyphens w:val="0"/>
              <w:autoSpaceDE w:val="0"/>
              <w:autoSpaceDN w:val="0"/>
              <w:adjustRightInd w:val="0"/>
              <w:jc w:val="both"/>
              <w:rPr>
                <w:sz w:val="22"/>
                <w:szCs w:val="22"/>
                <w:lang w:eastAsia="pl-PL"/>
              </w:rPr>
            </w:pPr>
            <w:r w:rsidRPr="0078357D">
              <w:rPr>
                <w:sz w:val="22"/>
                <w:szCs w:val="22"/>
                <w:lang w:eastAsia="pl-PL"/>
              </w:rPr>
              <w:t>Powstaje również pytanie czy projektodawca przeanalizował z jakich baz danych/rejestrów publicznych państw członkowskich UE i EFTA miałaby być pozyskiwana informacja o niekaralności i czy w każdym przypadku osoby, których dotyczy projektowany przepis będą mogły uzyskać zaświadczenie analogiczne do tego z KRK.</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A0BCD7" w14:textId="23C789C1" w:rsidR="00422C1C" w:rsidRPr="00736E19" w:rsidRDefault="00736E19" w:rsidP="6F78DE72">
            <w:pPr>
              <w:snapToGrid w:val="0"/>
              <w:rPr>
                <w:sz w:val="22"/>
                <w:szCs w:val="22"/>
              </w:rPr>
            </w:pPr>
            <w:r w:rsidRPr="00736E19">
              <w:rPr>
                <w:b/>
                <w:bCs/>
                <w:sz w:val="22"/>
                <w:szCs w:val="22"/>
              </w:rPr>
              <w:t>Uwzględniono poprzez doprecyzowanie przepisu.</w:t>
            </w:r>
          </w:p>
        </w:tc>
      </w:tr>
      <w:tr w:rsidR="00B41A88" w:rsidRPr="007749DD" w14:paraId="4C05DB8A" w14:textId="77777777" w:rsidTr="00873465">
        <w:trPr>
          <w:trHeight w:val="276"/>
          <w:jc w:val="center"/>
        </w:trPr>
        <w:tc>
          <w:tcPr>
            <w:tcW w:w="704" w:type="dxa"/>
            <w:tcBorders>
              <w:top w:val="single" w:sz="4" w:space="0" w:color="000000" w:themeColor="text1"/>
              <w:left w:val="single" w:sz="4" w:space="0" w:color="000000" w:themeColor="text1"/>
              <w:bottom w:val="single" w:sz="4" w:space="0" w:color="000000" w:themeColor="text1"/>
            </w:tcBorders>
          </w:tcPr>
          <w:p w14:paraId="46A4E746"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3F4949E9" w14:textId="4252C092" w:rsidR="00B41A88" w:rsidRPr="00AC64BA" w:rsidRDefault="00B41A88" w:rsidP="00B41A88">
            <w:pPr>
              <w:snapToGrid w:val="0"/>
              <w:jc w:val="both"/>
              <w:rPr>
                <w:sz w:val="22"/>
                <w:szCs w:val="22"/>
                <w:lang w:eastAsia="pl-PL"/>
              </w:rPr>
            </w:pPr>
            <w:r w:rsidRPr="00AC64BA">
              <w:rPr>
                <w:sz w:val="22"/>
                <w:szCs w:val="22"/>
                <w:lang w:eastAsia="pl-PL"/>
              </w:rPr>
              <w:t>Art. 10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9A5558B" w14:textId="20F18B20" w:rsidR="00B41A88" w:rsidRPr="00AC64BA" w:rsidRDefault="00B41A88" w:rsidP="00B41A88">
            <w:pPr>
              <w:snapToGrid w:val="0"/>
              <w:jc w:val="both"/>
              <w:rPr>
                <w:sz w:val="22"/>
                <w:szCs w:val="22"/>
              </w:rPr>
            </w:pPr>
            <w:r w:rsidRPr="00AC64BA">
              <w:rPr>
                <w:sz w:val="22"/>
                <w:szCs w:val="22"/>
              </w:rPr>
              <w:t xml:space="preserve">Urząd Ochrony </w:t>
            </w:r>
            <w:r w:rsidRPr="00AC64BA">
              <w:rPr>
                <w:sz w:val="22"/>
                <w:szCs w:val="22"/>
              </w:rPr>
              <w:lastRenderedPageBreak/>
              <w:t>Danych Osobowych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4DC4FA5F" w14:textId="6AEB3A33" w:rsidR="00B41A88" w:rsidRPr="0078357D" w:rsidRDefault="00B41A88" w:rsidP="00B41A88">
            <w:pPr>
              <w:suppressAutoHyphens w:val="0"/>
              <w:autoSpaceDE w:val="0"/>
              <w:autoSpaceDN w:val="0"/>
              <w:adjustRightInd w:val="0"/>
              <w:jc w:val="both"/>
              <w:rPr>
                <w:sz w:val="22"/>
                <w:szCs w:val="22"/>
                <w:lang w:eastAsia="pl-PL"/>
              </w:rPr>
            </w:pPr>
            <w:r w:rsidRPr="0078357D">
              <w:rPr>
                <w:b/>
                <w:bCs/>
                <w:sz w:val="22"/>
                <w:szCs w:val="22"/>
                <w:lang w:eastAsia="pl-PL"/>
              </w:rPr>
              <w:lastRenderedPageBreak/>
              <w:t>Ad art. 10 ust. 2 projektu</w:t>
            </w:r>
            <w:r w:rsidRPr="0078357D">
              <w:rPr>
                <w:sz w:val="22"/>
                <w:szCs w:val="22"/>
                <w:lang w:eastAsia="pl-PL"/>
              </w:rPr>
              <w:t xml:space="preserve"> – analogicznie jak wierszu 13 - wniosek o wydanie zezwolenia na prowadzenie działalności windykacyjnej zawiera </w:t>
            </w:r>
            <w:r w:rsidRPr="0078357D">
              <w:rPr>
                <w:i/>
                <w:iCs/>
                <w:sz w:val="22"/>
                <w:szCs w:val="22"/>
                <w:lang w:eastAsia="pl-PL"/>
              </w:rPr>
              <w:t xml:space="preserve">aktualne zaświadczenie, że osoby wchodzące w skład organu zarządzającego oraz organu nadzorczego nie były </w:t>
            </w:r>
            <w:r w:rsidRPr="0078357D">
              <w:rPr>
                <w:i/>
                <w:iCs/>
                <w:sz w:val="22"/>
                <w:szCs w:val="22"/>
                <w:lang w:eastAsia="pl-PL"/>
              </w:rPr>
              <w:lastRenderedPageBreak/>
              <w:t>skazana za umyślne przestępstwo lub umyślne przestępstwo skarbowe na terytorium państwa członkowskiego Unii Europejskiej lub państwa członkowskiego Europejskiego Stowarzyszenia Wolnego Handlu (EFTA) – strony umowy o Europejskim Obszarze Gospodarczym</w:t>
            </w:r>
            <w:r w:rsidRPr="0078357D">
              <w:rPr>
                <w:sz w:val="22"/>
                <w:szCs w:val="22"/>
                <w:lang w:eastAsia="pl-PL"/>
              </w:rPr>
              <w:t>. Projektowany przepis jest niejasny - z jego literalnego brzmienia wynika, że osoby wchodzące w skład organu zarządzającego oraz organu nadzorczego osoby prawnej ubiegającej się o prowadzenie działalności windykacyjnej powinny przedstawić zaświadczenie pochodzące z każdego państwa członkowskiego UE i EFTA, gdyż projektowany przepis nie wskazuje, że ma to być zaświadczenie pochodzące z właściwego organu państwa siedziby osoby prawnej. Dodatkowo, projektowany przepis wskazuje na zaświadczenie jako jeden dokument dotyczący wszystkich osób wchodzących w skład organu zarządzającego oraz organu nadzorczego osoby prawnej. Ustawa z dnia 24 maja 2000 r. o Krajowym Rejestrze Karnym (Dz. U. z 2021 r. poz. 1709, z późn. zm.) przewiduje jedynie przekazywanie informacji indywidualnie (o jednaj osobie), nie jest możliwe zatem uzyskanie z KRK zbiorowego zaświadczenia o wielu osobach. Dodatkowo, organ nadzorczy pragnie wskazać, że jeżeli możliwe jest wskazanie rejestru, z którego ma być pozyskiwana informacja o niekaralności</w:t>
            </w:r>
          </w:p>
          <w:p w14:paraId="18C5F1DF" w14:textId="77777777" w:rsidR="00B41A88" w:rsidRPr="0078357D" w:rsidRDefault="00B41A88" w:rsidP="00B41A88">
            <w:pPr>
              <w:suppressAutoHyphens w:val="0"/>
              <w:autoSpaceDE w:val="0"/>
              <w:autoSpaceDN w:val="0"/>
              <w:adjustRightInd w:val="0"/>
              <w:jc w:val="both"/>
              <w:rPr>
                <w:sz w:val="22"/>
                <w:szCs w:val="22"/>
                <w:lang w:eastAsia="pl-PL"/>
              </w:rPr>
            </w:pPr>
            <w:r w:rsidRPr="0078357D">
              <w:rPr>
                <w:sz w:val="22"/>
                <w:szCs w:val="22"/>
                <w:lang w:eastAsia="pl-PL"/>
              </w:rPr>
              <w:t>osoby, to w myśl zasady wyrażonej w art. 10 rozporządzenia 2016/6794 oraz z zasady zgodności z prawem, rzetelności i przejrzystości (art. 5 ust. 1 lit. a rozporządzenia 2016/679) projektowany art. 8 ust. 3 pkt 4 ustawy powinien wskazywać na ten rejestr, w przypadku obywateli Polski powinien być to KRK.</w:t>
            </w:r>
          </w:p>
          <w:p w14:paraId="56CFB6E5" w14:textId="7CDCA5F0" w:rsidR="00B41A88" w:rsidRPr="0078357D" w:rsidRDefault="00B41A88" w:rsidP="00B41A88">
            <w:pPr>
              <w:suppressAutoHyphens w:val="0"/>
              <w:autoSpaceDE w:val="0"/>
              <w:autoSpaceDN w:val="0"/>
              <w:adjustRightInd w:val="0"/>
              <w:jc w:val="both"/>
              <w:rPr>
                <w:sz w:val="22"/>
                <w:szCs w:val="22"/>
                <w:lang w:eastAsia="pl-PL"/>
              </w:rPr>
            </w:pPr>
            <w:r w:rsidRPr="0078357D">
              <w:rPr>
                <w:sz w:val="22"/>
                <w:szCs w:val="22"/>
                <w:lang w:eastAsia="pl-PL"/>
              </w:rPr>
              <w:t>Powstaje również pytanie czy projektodawca przeanalizował z jakich baz danych/rejestrów publicznych państw członkowskich UE i EFTA miałaby być pozyskiwana informacja o niekaralności i czy w każdym przypadku osoby, których dotyczy projektowany przepis będą mogły uzyskać zaświadczenie analogiczne do tego z KRK.</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863B4" w14:textId="28B904A4" w:rsidR="00B41A88" w:rsidRPr="00422C1C" w:rsidRDefault="00B41A88" w:rsidP="00B41A88">
            <w:pPr>
              <w:snapToGrid w:val="0"/>
              <w:rPr>
                <w:b/>
                <w:bCs/>
                <w:color w:val="FF0000"/>
                <w:sz w:val="22"/>
                <w:szCs w:val="22"/>
              </w:rPr>
            </w:pPr>
            <w:r w:rsidRPr="00736E19">
              <w:rPr>
                <w:b/>
                <w:bCs/>
                <w:sz w:val="22"/>
                <w:szCs w:val="22"/>
              </w:rPr>
              <w:lastRenderedPageBreak/>
              <w:t>Uwzględniono poprzez doprecyzowanie przepisu.</w:t>
            </w:r>
          </w:p>
        </w:tc>
      </w:tr>
      <w:tr w:rsidR="00B41A88" w:rsidRPr="007749DD" w14:paraId="603D0B90" w14:textId="77777777" w:rsidTr="00873465">
        <w:trPr>
          <w:trHeight w:val="276"/>
          <w:jc w:val="center"/>
        </w:trPr>
        <w:tc>
          <w:tcPr>
            <w:tcW w:w="704" w:type="dxa"/>
            <w:tcBorders>
              <w:top w:val="single" w:sz="4" w:space="0" w:color="000000" w:themeColor="text1"/>
              <w:left w:val="single" w:sz="4" w:space="0" w:color="000000" w:themeColor="text1"/>
              <w:bottom w:val="single" w:sz="4" w:space="0" w:color="000000" w:themeColor="text1"/>
            </w:tcBorders>
          </w:tcPr>
          <w:p w14:paraId="140CDA92"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4C29D01B" w14:textId="7B7BF238" w:rsidR="00B41A88" w:rsidRPr="00AC64BA" w:rsidRDefault="00B41A88" w:rsidP="00B41A88">
            <w:pPr>
              <w:snapToGrid w:val="0"/>
              <w:jc w:val="both"/>
              <w:rPr>
                <w:sz w:val="22"/>
                <w:szCs w:val="22"/>
                <w:lang w:eastAsia="pl-PL"/>
              </w:rPr>
            </w:pPr>
            <w:r w:rsidRPr="00AC64BA">
              <w:rPr>
                <w:sz w:val="22"/>
                <w:szCs w:val="22"/>
                <w:lang w:eastAsia="pl-PL"/>
              </w:rPr>
              <w:t>Art. 11 ust.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B217711" w14:textId="5254E163" w:rsidR="00B41A88" w:rsidRPr="00AC64BA" w:rsidRDefault="00B41A88" w:rsidP="00B41A88">
            <w:pPr>
              <w:snapToGrid w:val="0"/>
              <w:jc w:val="both"/>
              <w:rPr>
                <w:sz w:val="22"/>
                <w:szCs w:val="22"/>
              </w:rPr>
            </w:pPr>
            <w:r w:rsidRPr="00AC64BA">
              <w:rPr>
                <w:sz w:val="22"/>
                <w:szCs w:val="22"/>
              </w:rPr>
              <w:t>Urząd Ochrony Danych Osobowych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4DE1D085" w14:textId="40D329D3" w:rsidR="00B41A88" w:rsidRPr="0078357D" w:rsidRDefault="00B41A88" w:rsidP="00B41A88">
            <w:pPr>
              <w:suppressAutoHyphens w:val="0"/>
              <w:autoSpaceDE w:val="0"/>
              <w:autoSpaceDN w:val="0"/>
              <w:adjustRightInd w:val="0"/>
              <w:jc w:val="both"/>
              <w:rPr>
                <w:sz w:val="22"/>
                <w:szCs w:val="22"/>
                <w:lang w:eastAsia="pl-PL"/>
              </w:rPr>
            </w:pPr>
            <w:r w:rsidRPr="0078357D">
              <w:rPr>
                <w:b/>
                <w:bCs/>
                <w:sz w:val="22"/>
                <w:szCs w:val="22"/>
                <w:lang w:eastAsia="pl-PL"/>
              </w:rPr>
              <w:t>Ad art. 11 ust. 4 projektu</w:t>
            </w:r>
            <w:r w:rsidRPr="0078357D">
              <w:rPr>
                <w:sz w:val="22"/>
                <w:szCs w:val="22"/>
                <w:lang w:eastAsia="pl-PL"/>
              </w:rPr>
              <w:t xml:space="preserve"> – bez wskazania celu / celów prowadzenia rejestru co powinno zostać uzupełnione że Rejestr Przedsiębiorstw Windykacyjnych i Windykatorów </w:t>
            </w:r>
            <w:r w:rsidRPr="0078357D">
              <w:rPr>
                <w:i/>
                <w:iCs/>
                <w:sz w:val="22"/>
                <w:szCs w:val="22"/>
                <w:lang w:eastAsia="pl-PL"/>
              </w:rPr>
              <w:t>jest prowadzony w sposób umożliwiający każdemu zainteresowanemu dostęp do danych w nim zawartych oraz zapewniający bezpieczeństwo tych danych, w szczególności ochronę przed nieuprawnionym dostępem osób trzecich</w:t>
            </w:r>
            <w:r w:rsidRPr="0078357D">
              <w:rPr>
                <w:sz w:val="22"/>
                <w:szCs w:val="22"/>
                <w:lang w:eastAsia="pl-PL"/>
              </w:rPr>
              <w:t xml:space="preserve">. Nie jest jasne użycie przez projektodawcę sformułowania „każdemu zainteresowanemu”. Jeżeli kryterium dostępu do tego rejestru nie będzie uzależnione od interesu faktycznego ani prawnego, to będzie miał on faktycznie charakter jawny. Oprócz danych takich jak imię i nazwisko windykatora, będzie można również pozyskać z tego rejestru jego fotografię (w formacie odpowiadającym fotografii umieszczanej w dowodzie osobistym) i numer PESEL (jako krajowy numer identyfikacyjny podlegający szczególnym warunkom ochrony na podstawie art. 87 rozporządzenia 2016/679 - zgodnie z art. 87 rozporządzenia 2016/679 państwa członkowskie mogą określić szczególne warunki przetwarzania krajowego numeru identyfikacyjnego lub innego identyfikatora o zasięgu ogólnym. W takim przypadku </w:t>
            </w:r>
            <w:proofErr w:type="spellStart"/>
            <w:r w:rsidRPr="0078357D">
              <w:rPr>
                <w:sz w:val="22"/>
                <w:szCs w:val="22"/>
                <w:lang w:eastAsia="pl-PL"/>
              </w:rPr>
              <w:t>krajowegonumeru</w:t>
            </w:r>
            <w:proofErr w:type="spellEnd"/>
            <w:r w:rsidRPr="0078357D">
              <w:rPr>
                <w:sz w:val="22"/>
                <w:szCs w:val="22"/>
                <w:lang w:eastAsia="pl-PL"/>
              </w:rPr>
              <w:t xml:space="preserve"> identyfikacyjnego lub innego </w:t>
            </w:r>
            <w:r w:rsidRPr="0078357D">
              <w:rPr>
                <w:sz w:val="22"/>
                <w:szCs w:val="22"/>
                <w:lang w:eastAsia="pl-PL"/>
              </w:rPr>
              <w:lastRenderedPageBreak/>
              <w:t xml:space="preserve">identyfikatora o zasięgu ogólnym używa się wyłącznie z zachowaniem odpowiednich zabezpieczeń praw i wolności osoby, której dane dotyczą, które przewiduje niniejsze rozporządzenie). Wzgląd na zasadę poufności i integralności (art. 5 ust. 1 lit f rozporządzenia 2016/679) wymaga jako wysoce ryzykowne ocenić brak wprowadzenia jakichkolwiek obostrzeń co do posługiwania się danymi, do których uczyniony miałby być tak swobodny dostęp, w szczególności w zakresie numeru PESEL i fotografii. Za niewystarczające uznać trzeba także nieprzewidzenie stosowanych rozwiązań w treści przepisów lecz postawienie wykonawcy projektowanych norm zapewnienia by </w:t>
            </w:r>
            <w:r w:rsidRPr="0078357D">
              <w:rPr>
                <w:i/>
                <w:iCs/>
                <w:sz w:val="22"/>
                <w:szCs w:val="22"/>
                <w:lang w:eastAsia="pl-PL"/>
              </w:rPr>
              <w:t xml:space="preserve">rejestr prowadzony był w sposób zapewniający bezpieczeństwo tych danych, w szczególności ochronę przed nieuprawnionym dostępem osób trzecich. </w:t>
            </w:r>
            <w:r w:rsidRPr="0078357D">
              <w:rPr>
                <w:sz w:val="22"/>
                <w:szCs w:val="22"/>
                <w:lang w:eastAsia="pl-PL"/>
              </w:rPr>
              <w:t xml:space="preserve">Stwarza to istotne ryzyko kradzieży tożsamości osoby, której dane znajdują się w rejestrze windykatorów. Dlatego też projektodawca powinien doprecyzować, w jaki sposób będzie prowadzony rejestr </w:t>
            </w:r>
            <w:proofErr w:type="spellStart"/>
            <w:r w:rsidRPr="0078357D">
              <w:rPr>
                <w:sz w:val="22"/>
                <w:szCs w:val="22"/>
                <w:lang w:eastAsia="pl-PL"/>
              </w:rPr>
              <w:t>windykatotorów</w:t>
            </w:r>
            <w:proofErr w:type="spellEnd"/>
            <w:r w:rsidRPr="0078357D">
              <w:rPr>
                <w:sz w:val="22"/>
                <w:szCs w:val="22"/>
                <w:lang w:eastAsia="pl-PL"/>
              </w:rPr>
              <w:t>, określić precyzyjnie warunki dostępu do niego oraz ograniczyć powszechny dostęp do takich danych jak numer PESEL i wizerunek.</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C69DD5" w14:textId="54698E58" w:rsidR="00B41A88" w:rsidRPr="00B47EB6" w:rsidRDefault="00B41A88" w:rsidP="00B41A88">
            <w:pPr>
              <w:spacing w:line="259" w:lineRule="auto"/>
            </w:pPr>
            <w:r w:rsidRPr="00B47EB6">
              <w:rPr>
                <w:b/>
                <w:bCs/>
                <w:sz w:val="22"/>
                <w:szCs w:val="22"/>
              </w:rPr>
              <w:lastRenderedPageBreak/>
              <w:t>Częściowo uwzględniono.</w:t>
            </w:r>
          </w:p>
          <w:p w14:paraId="3D6040C1" w14:textId="11FBF27B" w:rsidR="00B41A88" w:rsidRPr="00B47EB6" w:rsidRDefault="00B41A88" w:rsidP="00B41A88">
            <w:pPr>
              <w:spacing w:line="259" w:lineRule="auto"/>
              <w:rPr>
                <w:b/>
                <w:bCs/>
                <w:sz w:val="22"/>
                <w:szCs w:val="22"/>
              </w:rPr>
            </w:pPr>
          </w:p>
          <w:p w14:paraId="54777DEE" w14:textId="77777777" w:rsidR="00B41A88" w:rsidRPr="00B47EB6" w:rsidRDefault="00B41A88" w:rsidP="00B41A88">
            <w:pPr>
              <w:snapToGrid w:val="0"/>
              <w:rPr>
                <w:b/>
                <w:bCs/>
                <w:sz w:val="22"/>
                <w:szCs w:val="22"/>
              </w:rPr>
            </w:pPr>
            <w:r w:rsidRPr="00B47EB6">
              <w:rPr>
                <w:b/>
                <w:bCs/>
                <w:sz w:val="22"/>
                <w:szCs w:val="22"/>
              </w:rPr>
              <w:t>Rejestr powinien być „jawny”. Fotografia powinna być dostępna w celu zweryfikowania osoby windykatora.</w:t>
            </w:r>
          </w:p>
          <w:p w14:paraId="73494421" w14:textId="5F97AE7F" w:rsidR="00B41A88" w:rsidRPr="00B47EB6" w:rsidRDefault="00B41A88" w:rsidP="00B41A88">
            <w:pPr>
              <w:rPr>
                <w:b/>
                <w:bCs/>
                <w:sz w:val="22"/>
                <w:szCs w:val="22"/>
              </w:rPr>
            </w:pPr>
            <w:r w:rsidRPr="00B47EB6">
              <w:rPr>
                <w:b/>
                <w:bCs/>
                <w:sz w:val="22"/>
                <w:szCs w:val="22"/>
              </w:rPr>
              <w:t>PESEL windykatora nie będzie publicznie udostępniany z Rejestru.</w:t>
            </w:r>
          </w:p>
          <w:p w14:paraId="7C676943" w14:textId="77777777" w:rsidR="00B41A88" w:rsidRPr="00B47EB6" w:rsidRDefault="00B41A88" w:rsidP="00B41A88">
            <w:pPr>
              <w:snapToGrid w:val="0"/>
              <w:rPr>
                <w:b/>
                <w:bCs/>
                <w:sz w:val="22"/>
                <w:szCs w:val="22"/>
              </w:rPr>
            </w:pPr>
          </w:p>
          <w:p w14:paraId="6B095634" w14:textId="032384B8" w:rsidR="00B41A88" w:rsidRPr="007749DD" w:rsidRDefault="00B41A88" w:rsidP="00B41A88">
            <w:pPr>
              <w:snapToGrid w:val="0"/>
              <w:rPr>
                <w:color w:val="FF0000"/>
                <w:sz w:val="22"/>
                <w:szCs w:val="22"/>
              </w:rPr>
            </w:pPr>
            <w:r w:rsidRPr="00B47EB6">
              <w:rPr>
                <w:b/>
                <w:bCs/>
                <w:sz w:val="22"/>
                <w:szCs w:val="22"/>
              </w:rPr>
              <w:t xml:space="preserve">Inne jawne krajowe rejestry w tym Krajowy Rejestr Sądowy i Księgi Wieczyste posiadają dostęp powszechny obejmujący dostęp do danych osób w nich wpisanych, w tym numeru PESEL, nie stwarza to jednak ryzyka </w:t>
            </w:r>
            <w:r w:rsidRPr="00B47EB6">
              <w:rPr>
                <w:b/>
                <w:bCs/>
                <w:sz w:val="22"/>
                <w:szCs w:val="22"/>
              </w:rPr>
              <w:lastRenderedPageBreak/>
              <w:t xml:space="preserve">wykorzystania danych do kradzieży tożsamości. </w:t>
            </w:r>
          </w:p>
        </w:tc>
      </w:tr>
      <w:tr w:rsidR="00B41A88" w:rsidRPr="007749DD" w14:paraId="4D2955C4" w14:textId="77777777" w:rsidTr="00873465">
        <w:trPr>
          <w:trHeight w:val="276"/>
          <w:jc w:val="center"/>
        </w:trPr>
        <w:tc>
          <w:tcPr>
            <w:tcW w:w="704" w:type="dxa"/>
            <w:tcBorders>
              <w:top w:val="single" w:sz="4" w:space="0" w:color="000000" w:themeColor="text1"/>
              <w:left w:val="single" w:sz="4" w:space="0" w:color="000000" w:themeColor="text1"/>
              <w:bottom w:val="single" w:sz="4" w:space="0" w:color="000000" w:themeColor="text1"/>
            </w:tcBorders>
          </w:tcPr>
          <w:p w14:paraId="0C01A428"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7CB38124" w14:textId="77777777"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11 ust. 3 pkt 2 lit d oraz</w:t>
            </w:r>
          </w:p>
          <w:p w14:paraId="0D6E3C5D" w14:textId="77777777"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w:t>
            </w:r>
          </w:p>
          <w:p w14:paraId="36035CA3" w14:textId="590E800B" w:rsidR="00B41A88" w:rsidRPr="00AC64BA" w:rsidRDefault="00B41A88" w:rsidP="00B41A88">
            <w:pPr>
              <w:snapToGrid w:val="0"/>
              <w:jc w:val="both"/>
              <w:rPr>
                <w:sz w:val="22"/>
                <w:szCs w:val="22"/>
                <w:lang w:eastAsia="pl-PL"/>
              </w:rPr>
            </w:pPr>
            <w:r w:rsidRPr="00AC64BA">
              <w:rPr>
                <w:sz w:val="22"/>
                <w:szCs w:val="22"/>
                <w:lang w:eastAsia="pl-PL"/>
              </w:rPr>
              <w:t>15 ust. 2 pkt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A05A558" w14:textId="7F669957" w:rsidR="00B41A88" w:rsidRPr="00AC64BA" w:rsidRDefault="00B41A88" w:rsidP="00B41A88">
            <w:pPr>
              <w:snapToGrid w:val="0"/>
              <w:jc w:val="both"/>
              <w:rPr>
                <w:sz w:val="22"/>
                <w:szCs w:val="22"/>
              </w:rPr>
            </w:pPr>
            <w:r w:rsidRPr="00AC64BA">
              <w:rPr>
                <w:sz w:val="22"/>
                <w:szCs w:val="22"/>
              </w:rPr>
              <w:t>Urząd Ochrony Danych Osobowych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56AE4BD0" w14:textId="62A9BC5E" w:rsidR="00B41A88" w:rsidRPr="0078357D" w:rsidRDefault="00B41A88" w:rsidP="00B41A88">
            <w:pPr>
              <w:suppressAutoHyphens w:val="0"/>
              <w:autoSpaceDE w:val="0"/>
              <w:autoSpaceDN w:val="0"/>
              <w:adjustRightInd w:val="0"/>
              <w:jc w:val="both"/>
              <w:rPr>
                <w:sz w:val="22"/>
                <w:szCs w:val="22"/>
                <w:lang w:eastAsia="pl-PL"/>
              </w:rPr>
            </w:pPr>
            <w:r w:rsidRPr="0078357D">
              <w:rPr>
                <w:b/>
                <w:bCs/>
                <w:sz w:val="22"/>
                <w:szCs w:val="22"/>
                <w:lang w:eastAsia="pl-PL"/>
              </w:rPr>
              <w:t>Ad art. 11 ust. 3 pkt 2 lit d oraz art. 15 ust. 2 pkt 4 projektu</w:t>
            </w:r>
            <w:r w:rsidRPr="0078357D">
              <w:rPr>
                <w:sz w:val="22"/>
                <w:szCs w:val="22"/>
                <w:lang w:eastAsia="pl-PL"/>
              </w:rPr>
              <w:t xml:space="preserve"> –  przetwarzanie w rejestrze windykatorów (art. 11 ust. 3 pkt 2 lit d projektu ustawy) jednocześnie miejsca urodzenia i </w:t>
            </w:r>
            <w:proofErr w:type="spellStart"/>
            <w:r w:rsidRPr="0078357D">
              <w:rPr>
                <w:sz w:val="22"/>
                <w:szCs w:val="22"/>
                <w:lang w:eastAsia="pl-PL"/>
              </w:rPr>
              <w:t>PESELu</w:t>
            </w:r>
            <w:proofErr w:type="spellEnd"/>
            <w:r w:rsidRPr="0078357D">
              <w:rPr>
                <w:sz w:val="22"/>
                <w:szCs w:val="22"/>
                <w:lang w:eastAsia="pl-PL"/>
              </w:rPr>
              <w:t xml:space="preserve"> osoby jest nieadekwatne, gdyż PESEL już tą osobę jednoznacznie identyfikuje; analogicznie jest w przypadku licencji windykatora (art. 15 ust. 2 pkt 4 projektu ustawy). Wyjaśnienie powyższych kwestii jest konieczne dla zachowania zgodności z zasadami dotyczącymi przetwarzania danych osobowych: zgodności z prawem, rzetelności i przejrzystości (art. 5 ust. 1 lit. a), ograniczenia celu (art. 5 ust. 1 lit. b) oraz minimalizacji danych (art. 5 ust. 1 lit. c rozporządzenia 2016/679).</w:t>
            </w:r>
          </w:p>
          <w:p w14:paraId="05A4E96E" w14:textId="01844CB9" w:rsidR="00B41A88" w:rsidRPr="0078357D" w:rsidRDefault="00B41A88" w:rsidP="00B41A88">
            <w:pPr>
              <w:suppressAutoHyphens w:val="0"/>
              <w:autoSpaceDE w:val="0"/>
              <w:autoSpaceDN w:val="0"/>
              <w:adjustRightInd w:val="0"/>
              <w:jc w:val="both"/>
              <w:rPr>
                <w:sz w:val="22"/>
                <w:szCs w:val="22"/>
                <w:lang w:eastAsia="pl-PL"/>
              </w:rPr>
            </w:pPr>
            <w:r w:rsidRPr="0078357D">
              <w:rPr>
                <w:sz w:val="22"/>
                <w:szCs w:val="22"/>
                <w:lang w:eastAsia="pl-PL"/>
              </w:rPr>
              <w:t>Dodatkowo należy podkreślić, że w projektowanej ustawie, nie przewidziano żadnego trybu usuwania danych z rejestru windykatorów. Usunięcie danych z  tego rejestru nie będzie następowało nawet w przypadku śmierci osoby wpisanej do rejestru windykatorów, co nie jest niezgodne z zasadą ograniczenia przechowywania (art. 5 ust. 1 lit. e rozporządzenia 2016/679 - zgodnie z zasadą ograniczenia przechowywania dane osobowe muszą być przechowywane w formie umożliwiającej identyfikację osoby, której dane dotyczą, przez okres nie dłuższy, niż jest to niezbędne do celów, w których dane te są przetwarzane; dane osobowe można przechowywać przez okres dłuższy, o ile będą one przetwarzane wyłącznie do celów archiwalnych w interesie publicznym, do celów badań naukowych lub historycznych lub do celów statystycznych na mocy art. 89 ust. 1, z zastrzeżeniem że wdrożone zostaną odpowiednie środki techniczne i organizacyjne wymagane na mocy niniejszego rozporządzenia w celu ochrony praw i wolności osób, których dane dotyczą.).</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F639AD" w14:textId="5A64E43E" w:rsidR="00B41A88" w:rsidRPr="00B47EB6" w:rsidRDefault="00B41A88" w:rsidP="00B41A88">
            <w:pPr>
              <w:spacing w:line="259" w:lineRule="auto"/>
              <w:rPr>
                <w:b/>
                <w:bCs/>
                <w:sz w:val="22"/>
                <w:szCs w:val="22"/>
              </w:rPr>
            </w:pPr>
            <w:r w:rsidRPr="00B47EB6">
              <w:rPr>
                <w:b/>
                <w:bCs/>
                <w:sz w:val="22"/>
                <w:szCs w:val="22"/>
              </w:rPr>
              <w:t>Uwzględniono</w:t>
            </w:r>
          </w:p>
          <w:p w14:paraId="6649B10D" w14:textId="77777777" w:rsidR="00B41A88" w:rsidRDefault="00B41A88" w:rsidP="00B41A88">
            <w:pPr>
              <w:snapToGrid w:val="0"/>
              <w:rPr>
                <w:color w:val="FF0000"/>
                <w:sz w:val="22"/>
                <w:szCs w:val="22"/>
              </w:rPr>
            </w:pPr>
          </w:p>
          <w:p w14:paraId="229BC6E0" w14:textId="7FC9B175" w:rsidR="00B41A88" w:rsidRPr="007749DD" w:rsidRDefault="00B41A88" w:rsidP="00B41A88">
            <w:pPr>
              <w:snapToGrid w:val="0"/>
              <w:rPr>
                <w:color w:val="FF0000"/>
                <w:sz w:val="22"/>
                <w:szCs w:val="22"/>
              </w:rPr>
            </w:pPr>
          </w:p>
        </w:tc>
      </w:tr>
      <w:tr w:rsidR="00B41A88" w:rsidRPr="007749DD" w14:paraId="4FDF474F" w14:textId="77777777" w:rsidTr="00873465">
        <w:trPr>
          <w:trHeight w:val="1153"/>
          <w:jc w:val="center"/>
        </w:trPr>
        <w:tc>
          <w:tcPr>
            <w:tcW w:w="704" w:type="dxa"/>
            <w:tcBorders>
              <w:top w:val="single" w:sz="4" w:space="0" w:color="000000" w:themeColor="text1"/>
              <w:left w:val="single" w:sz="4" w:space="0" w:color="000000" w:themeColor="text1"/>
              <w:bottom w:val="single" w:sz="4" w:space="0" w:color="000000" w:themeColor="text1"/>
            </w:tcBorders>
          </w:tcPr>
          <w:p w14:paraId="2C6C0490"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46F7D244" w14:textId="4443E68F"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13 ust. 1 pkt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C4A5F42" w14:textId="6F9A34D4" w:rsidR="00B41A88" w:rsidRPr="00AC64BA" w:rsidRDefault="00B41A88" w:rsidP="00B41A88">
            <w:pPr>
              <w:snapToGrid w:val="0"/>
              <w:jc w:val="both"/>
              <w:rPr>
                <w:sz w:val="22"/>
                <w:szCs w:val="22"/>
              </w:rPr>
            </w:pPr>
            <w:r w:rsidRPr="00AC64BA">
              <w:rPr>
                <w:sz w:val="22"/>
                <w:szCs w:val="22"/>
              </w:rPr>
              <w:t xml:space="preserve">Urząd Ochrony Danych </w:t>
            </w:r>
            <w:r w:rsidRPr="00AC64BA">
              <w:rPr>
                <w:sz w:val="22"/>
                <w:szCs w:val="22"/>
              </w:rPr>
              <w:lastRenderedPageBreak/>
              <w:t>Osobowych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04152148" w14:textId="071AD6AA" w:rsidR="00B41A88" w:rsidRPr="0078357D" w:rsidRDefault="00B41A88" w:rsidP="00B41A88">
            <w:pPr>
              <w:suppressAutoHyphens w:val="0"/>
              <w:autoSpaceDE w:val="0"/>
              <w:autoSpaceDN w:val="0"/>
              <w:adjustRightInd w:val="0"/>
              <w:jc w:val="both"/>
              <w:rPr>
                <w:sz w:val="22"/>
                <w:szCs w:val="22"/>
                <w:lang w:eastAsia="pl-PL"/>
              </w:rPr>
            </w:pPr>
            <w:r w:rsidRPr="0078357D">
              <w:rPr>
                <w:b/>
                <w:bCs/>
                <w:sz w:val="22"/>
                <w:szCs w:val="22"/>
                <w:lang w:eastAsia="pl-PL"/>
              </w:rPr>
              <w:lastRenderedPageBreak/>
              <w:t xml:space="preserve">Ad art. 13 ust. 1 pkt 4 projektu </w:t>
            </w:r>
            <w:r w:rsidRPr="0078357D">
              <w:rPr>
                <w:sz w:val="22"/>
                <w:szCs w:val="22"/>
                <w:lang w:eastAsia="pl-PL"/>
              </w:rPr>
              <w:t xml:space="preserve">– projekt ustawy przewiduje, że o licencję windykatora może ubiegać się osoba, która </w:t>
            </w:r>
            <w:r w:rsidRPr="0078357D">
              <w:rPr>
                <w:i/>
                <w:iCs/>
                <w:sz w:val="22"/>
                <w:szCs w:val="22"/>
                <w:lang w:eastAsia="pl-PL"/>
              </w:rPr>
              <w:t>posiada nieposzlakowaną opinię potwierdzoną wywiadem środowiskowym sporządzonym na zlecenie komendanta powiatowego policji właściwego, dla miejsca zamieszkania osoby ubiegającej się o licencję windykatora</w:t>
            </w:r>
            <w:r w:rsidRPr="0078357D">
              <w:rPr>
                <w:sz w:val="22"/>
                <w:szCs w:val="22"/>
                <w:lang w:eastAsia="pl-PL"/>
              </w:rPr>
              <w:t xml:space="preserve">. W </w:t>
            </w:r>
            <w:r w:rsidRPr="0078357D">
              <w:rPr>
                <w:sz w:val="22"/>
                <w:szCs w:val="22"/>
                <w:lang w:eastAsia="pl-PL"/>
              </w:rPr>
              <w:lastRenderedPageBreak/>
              <w:t>pierwszej kolejności należy wskazać, że wymóg wywiadu środowiskowego nie został przewidziany chociażby w ustawie z dnia 22 marca 2018 r. o komornikach sądowych (Dz. U. z 2022 r. poz. 1168 z późn. zm.) wobec kandydatów na komorników (art. 11 i 13 tej ustawy), czy też wobec</w:t>
            </w:r>
          </w:p>
          <w:p w14:paraId="7E7ABBF3" w14:textId="7337D517" w:rsidR="00B41A88" w:rsidRPr="0078357D" w:rsidRDefault="00B41A88" w:rsidP="00B41A88">
            <w:pPr>
              <w:suppressAutoHyphens w:val="0"/>
              <w:autoSpaceDE w:val="0"/>
              <w:autoSpaceDN w:val="0"/>
              <w:adjustRightInd w:val="0"/>
              <w:jc w:val="both"/>
              <w:rPr>
                <w:sz w:val="22"/>
                <w:szCs w:val="22"/>
                <w:lang w:eastAsia="pl-PL"/>
              </w:rPr>
            </w:pPr>
            <w:r w:rsidRPr="0078357D">
              <w:rPr>
                <w:sz w:val="22"/>
                <w:szCs w:val="22"/>
                <w:lang w:eastAsia="pl-PL"/>
              </w:rPr>
              <w:t>kandydatów na stanowiska określone w ustawie z dnia 27 lipca 2001 r. Prawo o ustroju sądów powszechnych (Dz. U. z 2020 r. poz. 2072 z późn. zm.). Przepisy ustawy Prawo o ustroju sądów powszechnych w przypadku kandydatów do objęcia pierwszego stanowiska sędziowskiego zakładają pozyskanie informacji od właściwego komendanta Policji w oparciu o dane zawarte w policyjnych systemach teleinformatycznych (art. 58 § 3). Tryb ten ma zdecydowanie mniej ingerujący w prywatność charakter niż wywiad środowiskowy opierający się na bezpośrednich działaniach Policji wobec otoczenia danej osoby. Powstaje więc pytanie dlaczego projektodawca zdecydował się na tak ukształtowany tryb sprawdzania nieposzlakowanej opinii osób ubiegających się o wykonywanie zawodu windykatora (nie będącego funkcjonariuszem publicznym), nie mający swojego odpowiednika chociażby wobec sędziów, komorników czy prokuratorów.</w:t>
            </w:r>
          </w:p>
          <w:p w14:paraId="3C3537AD" w14:textId="4910ED93" w:rsidR="00B41A88" w:rsidRPr="0078357D" w:rsidRDefault="00B41A88" w:rsidP="00B41A88">
            <w:pPr>
              <w:suppressAutoHyphens w:val="0"/>
              <w:autoSpaceDE w:val="0"/>
              <w:autoSpaceDN w:val="0"/>
              <w:adjustRightInd w:val="0"/>
              <w:jc w:val="both"/>
              <w:rPr>
                <w:sz w:val="22"/>
                <w:szCs w:val="22"/>
                <w:lang w:eastAsia="pl-PL"/>
              </w:rPr>
            </w:pPr>
            <w:r w:rsidRPr="0078357D">
              <w:rPr>
                <w:sz w:val="22"/>
                <w:szCs w:val="22"/>
                <w:lang w:eastAsia="pl-PL"/>
              </w:rPr>
              <w:t xml:space="preserve">Dodatkowo, należy wskazać, że w projektowanej ustawie, ani mocą aktów wykonawczych do niej nie przewiduje projektodawca określenia trybu przeprowadzenia takiego wywiadu środowiskowego, w szczególności praw i obowiązków Policji w jego trakcie, w tym w zakresie przetwarzania danych osobowych na potrzeby zweryfikowania </w:t>
            </w:r>
            <w:r w:rsidRPr="0078357D">
              <w:rPr>
                <w:i/>
                <w:iCs/>
                <w:sz w:val="22"/>
                <w:szCs w:val="22"/>
                <w:lang w:eastAsia="pl-PL"/>
              </w:rPr>
              <w:t xml:space="preserve">nieposzlakowanej opinii </w:t>
            </w:r>
            <w:r w:rsidRPr="0078357D">
              <w:rPr>
                <w:sz w:val="22"/>
                <w:szCs w:val="22"/>
                <w:lang w:eastAsia="pl-PL"/>
              </w:rPr>
              <w:t>kandydata na windykatora. Organ nadzorczy nie podważa zasadności takiej weryfikacji lecz o ile miałoby do niej dochodzić to należałoby w powszechnie obowiązujących przepisach prawa rangi ustawy przewidzieć takie rozwiązania. Z uwagi bowiem na konstytucyjną zasadę autonomii informacyjnej jednostki wyrażoną w art. 51 ust. 1 Konstytucji RP zasady prowadzenia wywiadu środowiskowego powinny zostać szczegółowo uregulowane. Powyższe kwestie wymagają wyjaśnienia z punktu widzenia zasad dotyczących przetwarzania danych osobowych: zgodności z prawem, rzetelności i przejrzystości, ograniczenia celu oraz minimalizacji danych.</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396B1C" w14:textId="77777777" w:rsidR="00144AE5" w:rsidRPr="00144AE5" w:rsidRDefault="00144AE5" w:rsidP="00144AE5">
            <w:pPr>
              <w:snapToGrid w:val="0"/>
              <w:spacing w:line="259" w:lineRule="auto"/>
              <w:jc w:val="both"/>
              <w:rPr>
                <w:b/>
                <w:bCs/>
                <w:sz w:val="22"/>
                <w:szCs w:val="22"/>
              </w:rPr>
            </w:pPr>
            <w:r w:rsidRPr="00144AE5">
              <w:rPr>
                <w:b/>
                <w:bCs/>
                <w:sz w:val="22"/>
                <w:szCs w:val="22"/>
              </w:rPr>
              <w:lastRenderedPageBreak/>
              <w:t>Częściowo uwzględniono poprzez nadanie brzmienia:</w:t>
            </w:r>
          </w:p>
          <w:p w14:paraId="2903E2B9" w14:textId="2D857E92" w:rsidR="00B41A88" w:rsidRPr="00144AE5" w:rsidRDefault="00144AE5" w:rsidP="00144AE5">
            <w:pPr>
              <w:snapToGrid w:val="0"/>
              <w:jc w:val="both"/>
              <w:rPr>
                <w:sz w:val="22"/>
                <w:szCs w:val="22"/>
              </w:rPr>
            </w:pPr>
            <w:r w:rsidRPr="00144AE5">
              <w:rPr>
                <w:i/>
                <w:iCs/>
                <w:sz w:val="22"/>
                <w:szCs w:val="22"/>
              </w:rPr>
              <w:t xml:space="preserve">“[…] posiada pozytywną opinię komendanta powiatowego (rejonowego, </w:t>
            </w:r>
            <w:r w:rsidRPr="00144AE5">
              <w:rPr>
                <w:i/>
                <w:iCs/>
                <w:sz w:val="22"/>
                <w:szCs w:val="22"/>
              </w:rPr>
              <w:lastRenderedPageBreak/>
              <w:t xml:space="preserve">miejskiego) Policji właściwego ze względu na jej miejsce zamieszkania, sporządzoną na podstawie aktualnie posiadanych informacji przez Policję albo - w przypadku obywatela innego państwa - przez organ odpowiedniego szczebla i kompetencji państwa, właściwego ze względu na miejsce jej zamieszkania;”. </w:t>
            </w:r>
            <w:r w:rsidR="00B41A88" w:rsidRPr="00144AE5">
              <w:rPr>
                <w:sz w:val="22"/>
                <w:szCs w:val="22"/>
              </w:rPr>
              <w:t>Proponuje się rozwiązanie analogiczne jak w art. 29 ustawy o usługach detektywistycznych</w:t>
            </w:r>
            <w:r w:rsidRPr="00144AE5">
              <w:rPr>
                <w:sz w:val="22"/>
                <w:szCs w:val="22"/>
              </w:rPr>
              <w:t>.</w:t>
            </w:r>
          </w:p>
          <w:p w14:paraId="60A5B360" w14:textId="75556D3E" w:rsidR="00B41A88" w:rsidRPr="00144AE5" w:rsidRDefault="00B41A88" w:rsidP="00B41A88">
            <w:pPr>
              <w:snapToGrid w:val="0"/>
              <w:rPr>
                <w:sz w:val="22"/>
                <w:szCs w:val="22"/>
              </w:rPr>
            </w:pPr>
          </w:p>
        </w:tc>
      </w:tr>
      <w:tr w:rsidR="00B41A88" w:rsidRPr="007749DD" w14:paraId="60017046" w14:textId="77777777" w:rsidTr="00873465">
        <w:trPr>
          <w:trHeight w:val="2011"/>
          <w:jc w:val="center"/>
        </w:trPr>
        <w:tc>
          <w:tcPr>
            <w:tcW w:w="704" w:type="dxa"/>
            <w:tcBorders>
              <w:top w:val="single" w:sz="4" w:space="0" w:color="000000" w:themeColor="text1"/>
              <w:left w:val="single" w:sz="4" w:space="0" w:color="000000" w:themeColor="text1"/>
              <w:bottom w:val="single" w:sz="4" w:space="0" w:color="000000" w:themeColor="text1"/>
            </w:tcBorders>
          </w:tcPr>
          <w:p w14:paraId="4FEADDE2"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004F06CA" w14:textId="7D32C302"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13 ust. 1 pkt 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2C42522" w14:textId="313EAE65" w:rsidR="00B41A88" w:rsidRPr="00AC64BA" w:rsidRDefault="00B41A88" w:rsidP="00B41A88">
            <w:pPr>
              <w:snapToGrid w:val="0"/>
              <w:jc w:val="both"/>
              <w:rPr>
                <w:sz w:val="22"/>
                <w:szCs w:val="22"/>
              </w:rPr>
            </w:pPr>
            <w:r w:rsidRPr="00AC64BA">
              <w:rPr>
                <w:sz w:val="22"/>
                <w:szCs w:val="22"/>
              </w:rPr>
              <w:t>Urząd Ochrony Danych Osobowych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62A39F79" w14:textId="0777B15F" w:rsidR="00B41A88" w:rsidRPr="0078357D" w:rsidRDefault="00B41A88" w:rsidP="00B41A88">
            <w:pPr>
              <w:suppressAutoHyphens w:val="0"/>
              <w:autoSpaceDE w:val="0"/>
              <w:autoSpaceDN w:val="0"/>
              <w:adjustRightInd w:val="0"/>
              <w:jc w:val="both"/>
              <w:rPr>
                <w:sz w:val="22"/>
                <w:szCs w:val="22"/>
                <w:lang w:eastAsia="pl-PL"/>
              </w:rPr>
            </w:pPr>
            <w:r w:rsidRPr="0078357D">
              <w:rPr>
                <w:b/>
                <w:bCs/>
                <w:sz w:val="22"/>
                <w:szCs w:val="22"/>
                <w:lang w:eastAsia="pl-PL"/>
              </w:rPr>
              <w:t>Ad art. 13 ust. 1 pkt 7 projektu</w:t>
            </w:r>
            <w:r w:rsidRPr="0078357D">
              <w:rPr>
                <w:sz w:val="22"/>
                <w:szCs w:val="22"/>
                <w:lang w:eastAsia="pl-PL"/>
              </w:rPr>
              <w:t xml:space="preserve"> - planuje się, że o licencję windykatora może ubiegać się osoba, która </w:t>
            </w:r>
            <w:r w:rsidRPr="0078357D">
              <w:rPr>
                <w:i/>
                <w:iCs/>
                <w:sz w:val="22"/>
                <w:szCs w:val="22"/>
                <w:lang w:eastAsia="pl-PL"/>
              </w:rPr>
              <w:t>posiada zdolność, ze względu na stan zdrowia, do wykonywania zawodu windykatora, potwierdzoną badaniami lekarskimi i psychologicznymi</w:t>
            </w:r>
            <w:r w:rsidRPr="0078357D">
              <w:rPr>
                <w:sz w:val="22"/>
                <w:szCs w:val="22"/>
                <w:lang w:eastAsia="pl-PL"/>
              </w:rPr>
              <w:t>. Projektowana ustawa ani akty wykonawcze do niej nie określają jakie badania lekarskie oraz psychologiczne mają potwierdzić, że osoba może wykonywać zawód windykatora, w szczególności jakim konkretnie badaniom taka osoba ma się poddać oraz jakie schorzenia będą uniemożliwiać</w:t>
            </w:r>
          </w:p>
          <w:p w14:paraId="69D17A91" w14:textId="3F4A2E7E" w:rsidR="00B41A88" w:rsidRPr="0078357D" w:rsidRDefault="00B41A88" w:rsidP="00B41A88">
            <w:pPr>
              <w:suppressAutoHyphens w:val="0"/>
              <w:autoSpaceDE w:val="0"/>
              <w:autoSpaceDN w:val="0"/>
              <w:adjustRightInd w:val="0"/>
              <w:jc w:val="both"/>
              <w:rPr>
                <w:sz w:val="22"/>
                <w:szCs w:val="22"/>
                <w:lang w:eastAsia="pl-PL"/>
              </w:rPr>
            </w:pPr>
            <w:r w:rsidRPr="0078357D">
              <w:rPr>
                <w:sz w:val="22"/>
                <w:szCs w:val="22"/>
                <w:lang w:eastAsia="pl-PL"/>
              </w:rPr>
              <w:t>osobie wykonywanie zawodu windykatora. Powyższe kwestie wymagają wyjaśnienia z punktu widzenia ww. zasad dotyczących przetwarzania danych osobowych.</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871301" w14:textId="4A56746A" w:rsidR="00C80E3B" w:rsidRPr="00C80E3B" w:rsidRDefault="00C80E3B" w:rsidP="00C80E3B">
            <w:pPr>
              <w:spacing w:line="276" w:lineRule="auto"/>
              <w:ind w:left="510" w:hanging="510"/>
              <w:jc w:val="both"/>
              <w:rPr>
                <w:rFonts w:eastAsia="Times New Roman"/>
                <w:color w:val="000000" w:themeColor="text1"/>
                <w:sz w:val="22"/>
                <w:szCs w:val="22"/>
              </w:rPr>
            </w:pPr>
            <w:r w:rsidRPr="00C80E3B">
              <w:rPr>
                <w:rFonts w:eastAsia="Times New Roman"/>
                <w:b/>
                <w:bCs/>
                <w:color w:val="000000" w:themeColor="text1"/>
                <w:sz w:val="22"/>
                <w:szCs w:val="22"/>
              </w:rPr>
              <w:t>Uwzględniono, poprzez dokonanie zmiany brzmienia przepisu art. 13 ust. 1 pkt 7 (obecnie art. 11)</w:t>
            </w:r>
          </w:p>
          <w:p w14:paraId="24580696" w14:textId="31B349C3" w:rsidR="00B41A88" w:rsidRPr="00C80E3B" w:rsidRDefault="00C80E3B" w:rsidP="00C80E3B">
            <w:pPr>
              <w:spacing w:line="276" w:lineRule="auto"/>
              <w:ind w:left="510" w:hanging="510"/>
              <w:jc w:val="both"/>
              <w:rPr>
                <w:rFonts w:eastAsia="Times New Roman"/>
                <w:color w:val="000000" w:themeColor="text1"/>
                <w:sz w:val="22"/>
                <w:szCs w:val="22"/>
              </w:rPr>
            </w:pPr>
            <w:r w:rsidRPr="00C80E3B">
              <w:rPr>
                <w:rFonts w:eastAsia="Times New Roman"/>
                <w:b/>
                <w:bCs/>
                <w:color w:val="000000" w:themeColor="text1"/>
                <w:sz w:val="22"/>
                <w:szCs w:val="22"/>
              </w:rPr>
              <w:t xml:space="preserve">“7) </w:t>
            </w:r>
            <w:r w:rsidRPr="00C80E3B">
              <w:rPr>
                <w:rFonts w:eastAsia="Times New Roman"/>
                <w:color w:val="000000" w:themeColor="text1"/>
                <w:sz w:val="22"/>
                <w:szCs w:val="22"/>
              </w:rPr>
              <w:t>posiada zdolność psychiczną do wykonywania zawodu windykatora stwierdzoną orzeczeniem lekarskim;</w:t>
            </w:r>
            <w:r w:rsidRPr="00C80E3B">
              <w:rPr>
                <w:rFonts w:eastAsia="Times New Roman"/>
                <w:b/>
                <w:bCs/>
                <w:color w:val="000000" w:themeColor="text1"/>
                <w:sz w:val="22"/>
                <w:szCs w:val="22"/>
              </w:rPr>
              <w:t>”</w:t>
            </w:r>
          </w:p>
        </w:tc>
      </w:tr>
      <w:tr w:rsidR="00B41A88" w:rsidRPr="007749DD" w14:paraId="3F128549" w14:textId="77777777" w:rsidTr="00873465">
        <w:trPr>
          <w:trHeight w:val="4265"/>
          <w:jc w:val="center"/>
        </w:trPr>
        <w:tc>
          <w:tcPr>
            <w:tcW w:w="704" w:type="dxa"/>
            <w:tcBorders>
              <w:top w:val="single" w:sz="4" w:space="0" w:color="000000" w:themeColor="text1"/>
              <w:left w:val="single" w:sz="4" w:space="0" w:color="000000" w:themeColor="text1"/>
              <w:bottom w:val="single" w:sz="4" w:space="0" w:color="000000" w:themeColor="text1"/>
            </w:tcBorders>
          </w:tcPr>
          <w:p w14:paraId="28D2BF30"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37FD5C85" w14:textId="558E4B94"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14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DD32A1E" w14:textId="2F0B5BA9" w:rsidR="00B41A88" w:rsidRPr="00AC64BA" w:rsidRDefault="00B41A88" w:rsidP="00B41A88">
            <w:pPr>
              <w:snapToGrid w:val="0"/>
              <w:jc w:val="both"/>
              <w:rPr>
                <w:sz w:val="22"/>
                <w:szCs w:val="22"/>
              </w:rPr>
            </w:pPr>
            <w:r w:rsidRPr="00AC64BA">
              <w:rPr>
                <w:sz w:val="22"/>
                <w:szCs w:val="22"/>
              </w:rPr>
              <w:t>Urząd Ochrony Danych Osobowych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79038588" w14:textId="64D422D6" w:rsidR="00B41A88" w:rsidRPr="0078357D" w:rsidRDefault="00B41A88" w:rsidP="00B41A88">
            <w:pPr>
              <w:suppressAutoHyphens w:val="0"/>
              <w:autoSpaceDE w:val="0"/>
              <w:autoSpaceDN w:val="0"/>
              <w:adjustRightInd w:val="0"/>
              <w:jc w:val="both"/>
              <w:rPr>
                <w:sz w:val="22"/>
                <w:szCs w:val="22"/>
                <w:lang w:eastAsia="pl-PL"/>
              </w:rPr>
            </w:pPr>
            <w:r w:rsidRPr="0078357D">
              <w:rPr>
                <w:b/>
                <w:bCs/>
                <w:sz w:val="22"/>
                <w:szCs w:val="22"/>
                <w:lang w:eastAsia="pl-PL"/>
              </w:rPr>
              <w:t>Ad art. 14 ust. 2 projektu</w:t>
            </w:r>
            <w:r w:rsidRPr="0078357D">
              <w:rPr>
                <w:sz w:val="22"/>
                <w:szCs w:val="22"/>
                <w:lang w:eastAsia="pl-PL"/>
              </w:rPr>
              <w:t xml:space="preserve"> - projekt ustawy przewiduje, że </w:t>
            </w:r>
            <w:r w:rsidRPr="0078357D">
              <w:rPr>
                <w:i/>
                <w:iCs/>
                <w:sz w:val="22"/>
                <w:szCs w:val="22"/>
                <w:lang w:eastAsia="pl-PL"/>
              </w:rPr>
              <w:t xml:space="preserve">Do wniosku należy dołączyć dokumenty potwierdzające spełnienie przez osobę ubiegającą się o licencję windykatora wymogów, określonych w art. 13 ust. 1 pkt 1, 3, 6, 7, 8 i 9 oraz składane pod rygorem odpowiedzialności karnej oświadczenie tej osoby, że nie toczy się przeciwko niej postępowanie o umyślne przestępstwo lub umyślne przestępstwo skarbowe </w:t>
            </w:r>
            <w:r w:rsidRPr="0078357D">
              <w:rPr>
                <w:sz w:val="22"/>
                <w:szCs w:val="22"/>
                <w:lang w:eastAsia="pl-PL"/>
              </w:rPr>
              <w:t>oraz oświadczenie tej osoby o tym, że ma pełną zdolność do czynności prawnych. Jest to jedyny przepis projektowanej ustawy dotyczący przekazywania przez kandydata informacji dotyczących spełnienia przez niego kwalifikacji do wykonywania zawodu windykatora. W projektowanej ustawie nie ma natomiast przepisów dotyczących przekazywania przez Komendanta Powiatowego Policji Wojewodzie, który wydaje licencję, informacji z wywiadu środowiskowego (art. 13 ust. 1 pkt 4 projektu ustawy). Sytuacja taka tworzy lukę prawną, projektowana ustawa powinna więc ustalać tryb wymiany informacji pomiędzy Komendantem Powiatowym Policji a Wojewodą celem zapewnienia stosowania zasady zgodności z prawem, rzetelności i przejrzystości (art. 5 ust. 1 lit. a rozporządzenia 2016/679).</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69AEF" w14:textId="28091F19" w:rsidR="00B41A88" w:rsidRPr="007749DD" w:rsidRDefault="00D348C3" w:rsidP="00B41A88">
            <w:pPr>
              <w:snapToGrid w:val="0"/>
              <w:rPr>
                <w:color w:val="FF0000"/>
                <w:sz w:val="22"/>
                <w:szCs w:val="22"/>
              </w:rPr>
            </w:pPr>
            <w:r w:rsidRPr="00D348C3">
              <w:rPr>
                <w:b/>
                <w:bCs/>
                <w:sz w:val="22"/>
                <w:szCs w:val="22"/>
              </w:rPr>
              <w:t>Uwzględniono.</w:t>
            </w:r>
          </w:p>
        </w:tc>
      </w:tr>
      <w:tr w:rsidR="00B41A88" w:rsidRPr="007749DD" w14:paraId="6016B8C4" w14:textId="77777777" w:rsidTr="00873465">
        <w:trPr>
          <w:trHeight w:val="4272"/>
          <w:jc w:val="center"/>
        </w:trPr>
        <w:tc>
          <w:tcPr>
            <w:tcW w:w="704" w:type="dxa"/>
            <w:tcBorders>
              <w:top w:val="single" w:sz="4" w:space="0" w:color="000000" w:themeColor="text1"/>
              <w:left w:val="single" w:sz="4" w:space="0" w:color="000000" w:themeColor="text1"/>
              <w:bottom w:val="single" w:sz="4" w:space="0" w:color="000000" w:themeColor="text1"/>
            </w:tcBorders>
          </w:tcPr>
          <w:p w14:paraId="44268531" w14:textId="77777777" w:rsidR="00B41A88" w:rsidRPr="007749DD"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14D070CF" w14:textId="24C165A2"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20 ust.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B847E08" w14:textId="13784E3B" w:rsidR="00B41A88" w:rsidRPr="00AC64BA" w:rsidRDefault="00B41A88" w:rsidP="00B41A88">
            <w:pPr>
              <w:snapToGrid w:val="0"/>
              <w:jc w:val="both"/>
              <w:rPr>
                <w:sz w:val="22"/>
                <w:szCs w:val="22"/>
              </w:rPr>
            </w:pPr>
            <w:r w:rsidRPr="00AC64BA">
              <w:rPr>
                <w:sz w:val="22"/>
                <w:szCs w:val="22"/>
              </w:rPr>
              <w:t>Urząd Ochrony Danych Osobowych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5AFA07A5" w14:textId="11D1B149" w:rsidR="00B41A88" w:rsidRPr="0078357D" w:rsidRDefault="00B41A88" w:rsidP="00B41A88">
            <w:pPr>
              <w:suppressAutoHyphens w:val="0"/>
              <w:autoSpaceDE w:val="0"/>
              <w:autoSpaceDN w:val="0"/>
              <w:adjustRightInd w:val="0"/>
              <w:jc w:val="both"/>
              <w:rPr>
                <w:sz w:val="22"/>
                <w:szCs w:val="22"/>
                <w:lang w:eastAsia="pl-PL"/>
              </w:rPr>
            </w:pPr>
            <w:r w:rsidRPr="0078357D">
              <w:rPr>
                <w:b/>
                <w:bCs/>
                <w:sz w:val="22"/>
                <w:szCs w:val="22"/>
                <w:lang w:eastAsia="pl-PL"/>
              </w:rPr>
              <w:t>Ad art. 20 ust. 3 projektu</w:t>
            </w:r>
            <w:r w:rsidRPr="0078357D">
              <w:rPr>
                <w:sz w:val="22"/>
                <w:szCs w:val="22"/>
                <w:lang w:eastAsia="pl-PL"/>
              </w:rPr>
              <w:t xml:space="preserve"> - projekt ustawy przewiduje, że </w:t>
            </w:r>
            <w:r w:rsidRPr="0078357D">
              <w:rPr>
                <w:i/>
                <w:iCs/>
                <w:sz w:val="22"/>
                <w:szCs w:val="22"/>
                <w:lang w:eastAsia="pl-PL"/>
              </w:rPr>
              <w:t>Legitymacja pracownicza windykatora zawiera co najmniej</w:t>
            </w:r>
            <w:r w:rsidRPr="0078357D">
              <w:rPr>
                <w:sz w:val="22"/>
                <w:szCs w:val="22"/>
                <w:lang w:eastAsia="pl-PL"/>
              </w:rPr>
              <w:t xml:space="preserve">: </w:t>
            </w:r>
            <w:r w:rsidRPr="0078357D">
              <w:rPr>
                <w:i/>
                <w:iCs/>
                <w:sz w:val="22"/>
                <w:szCs w:val="22"/>
                <w:lang w:eastAsia="pl-PL"/>
              </w:rPr>
              <w:t>(…)</w:t>
            </w:r>
            <w:r w:rsidRPr="0078357D">
              <w:rPr>
                <w:sz w:val="22"/>
                <w:szCs w:val="22"/>
                <w:lang w:eastAsia="pl-PL"/>
              </w:rPr>
              <w:t>. Użycie w projektowanym przepisie zwrotu „co najmniej” tworzy otwarty katalog danych osobowych i może prowadzić do umieszczania – w zależności od woli wykonawcy normy, dowolnie w projektowanym dokumencie danych windykatora w zakresie szerszym niż jest to niezbędne do potwierdzenia jego tożsamości i prowadzenia</w:t>
            </w:r>
          </w:p>
          <w:p w14:paraId="74F9A4BD" w14:textId="14AD46D4" w:rsidR="00B41A88" w:rsidRPr="0078357D" w:rsidRDefault="00B41A88" w:rsidP="00B41A88">
            <w:pPr>
              <w:suppressAutoHyphens w:val="0"/>
              <w:autoSpaceDE w:val="0"/>
              <w:autoSpaceDN w:val="0"/>
              <w:adjustRightInd w:val="0"/>
              <w:jc w:val="both"/>
              <w:rPr>
                <w:sz w:val="22"/>
                <w:szCs w:val="22"/>
                <w:lang w:eastAsia="pl-PL"/>
              </w:rPr>
            </w:pPr>
            <w:r w:rsidRPr="0078357D">
              <w:rPr>
                <w:sz w:val="22"/>
                <w:szCs w:val="22"/>
                <w:lang w:eastAsia="pl-PL"/>
              </w:rPr>
              <w:t>przez niego czynności windykacyjnych. Powyższy problem wzmacnia dodatkowo fakt, że projektowana ustawa nie przewiduje jednolitego wzoru legitymacji windykatora oraz zakłada, że legitymację tę będzie wydawał pracodawca windykatora (art. 20 ust. 2 projektu ustawy) nie zaś organ publiczny, jak ma to miejsce chociażby w przypadku licencji windykatora (art. 15 ust. 1 projektu ustawy). Dlatego też organ nadzorczy postuluje uśnięcie zwrotu „co najmniej” z art. 20 ust. 3 projektu ustawy oraz rozważenie przez projektodawcę</w:t>
            </w:r>
          </w:p>
          <w:p w14:paraId="2831DF12" w14:textId="77777777" w:rsidR="00B41A88" w:rsidRPr="0078357D" w:rsidRDefault="00B41A88" w:rsidP="00B41A88">
            <w:pPr>
              <w:suppressAutoHyphens w:val="0"/>
              <w:autoSpaceDE w:val="0"/>
              <w:autoSpaceDN w:val="0"/>
              <w:adjustRightInd w:val="0"/>
              <w:jc w:val="both"/>
              <w:rPr>
                <w:sz w:val="22"/>
                <w:szCs w:val="22"/>
                <w:lang w:eastAsia="pl-PL"/>
              </w:rPr>
            </w:pPr>
            <w:r w:rsidRPr="0078357D">
              <w:rPr>
                <w:sz w:val="22"/>
                <w:szCs w:val="22"/>
                <w:lang w:eastAsia="pl-PL"/>
              </w:rPr>
              <w:t>ustalenia legitymacji windykatora jako dokumentu o wzorze ustalonym prawem</w:t>
            </w:r>
          </w:p>
          <w:p w14:paraId="44E3C1A9" w14:textId="76D7012F" w:rsidR="00B41A88" w:rsidRPr="0078357D" w:rsidRDefault="00B41A88" w:rsidP="00B41A88">
            <w:pPr>
              <w:suppressAutoHyphens w:val="0"/>
              <w:autoSpaceDE w:val="0"/>
              <w:autoSpaceDN w:val="0"/>
              <w:adjustRightInd w:val="0"/>
              <w:jc w:val="both"/>
              <w:rPr>
                <w:sz w:val="22"/>
                <w:szCs w:val="22"/>
                <w:lang w:eastAsia="pl-PL"/>
              </w:rPr>
            </w:pPr>
            <w:r w:rsidRPr="0078357D">
              <w:rPr>
                <w:sz w:val="22"/>
                <w:szCs w:val="22"/>
                <w:lang w:eastAsia="pl-PL"/>
              </w:rPr>
              <w:t>powszechnie obowiązującym, wydawanym przez organ publiczny. Odpowiadałoby to ww. zasadom dotyczącym przetwarzania danych osobowych.</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6E5E98" w14:textId="7AA4793B" w:rsidR="00924AFF" w:rsidRPr="00924AFF" w:rsidRDefault="00D348C3" w:rsidP="00924AFF">
            <w:pPr>
              <w:snapToGrid w:val="0"/>
              <w:rPr>
                <w:sz w:val="22"/>
                <w:szCs w:val="22"/>
              </w:rPr>
            </w:pPr>
            <w:r w:rsidRPr="00924AFF">
              <w:rPr>
                <w:b/>
                <w:bCs/>
                <w:sz w:val="22"/>
                <w:szCs w:val="22"/>
              </w:rPr>
              <w:t xml:space="preserve">Częściowo uwzględniono, </w:t>
            </w:r>
            <w:r w:rsidRPr="00924AFF">
              <w:rPr>
                <w:sz w:val="22"/>
                <w:szCs w:val="22"/>
              </w:rPr>
              <w:t>poprzez z</w:t>
            </w:r>
            <w:r w:rsidR="00B41A88" w:rsidRPr="00924AFF">
              <w:rPr>
                <w:sz w:val="22"/>
                <w:szCs w:val="22"/>
              </w:rPr>
              <w:t>astąpienie wyrażenia „legitymacja pracownicza” wyrażeniem „identyfikator”</w:t>
            </w:r>
            <w:r w:rsidR="00924AFF" w:rsidRPr="00924AFF">
              <w:rPr>
                <w:sz w:val="22"/>
                <w:szCs w:val="22"/>
              </w:rPr>
              <w:t xml:space="preserve"> oraz wprowadzenie zamkniętego katalogu</w:t>
            </w:r>
          </w:p>
          <w:p w14:paraId="5C24CE97" w14:textId="7BEAB8A8" w:rsidR="00B41A88" w:rsidRPr="00924AFF" w:rsidRDefault="00B41A88" w:rsidP="00B41A88">
            <w:pPr>
              <w:snapToGrid w:val="0"/>
              <w:rPr>
                <w:sz w:val="22"/>
                <w:szCs w:val="22"/>
              </w:rPr>
            </w:pPr>
            <w:r w:rsidRPr="00924AFF">
              <w:rPr>
                <w:sz w:val="22"/>
                <w:szCs w:val="22"/>
              </w:rPr>
              <w:t>danych, które muszą znaleźć się w identyfikatorze, aby osoba zobowiązana mogła zidentyfikować windykatora.</w:t>
            </w:r>
            <w:r w:rsidR="00924AFF" w:rsidRPr="00924AFF">
              <w:rPr>
                <w:sz w:val="22"/>
                <w:szCs w:val="22"/>
              </w:rPr>
              <w:t xml:space="preserve"> </w:t>
            </w:r>
            <w:r w:rsidRPr="00924AFF">
              <w:rPr>
                <w:sz w:val="22"/>
                <w:szCs w:val="22"/>
              </w:rPr>
              <w:t xml:space="preserve">Nie jest celowe wprowadzanie jednolitego wzoru identyfikatora aby nie tworzyć wrażenia, iż mamy do czynienia z legitymacją służbową. </w:t>
            </w:r>
          </w:p>
          <w:p w14:paraId="651C0E75" w14:textId="77777777" w:rsidR="00B41A88" w:rsidRDefault="00B41A88" w:rsidP="00B41A88">
            <w:pPr>
              <w:snapToGrid w:val="0"/>
              <w:rPr>
                <w:color w:val="FF0000"/>
                <w:sz w:val="22"/>
                <w:szCs w:val="22"/>
              </w:rPr>
            </w:pPr>
          </w:p>
          <w:p w14:paraId="7089588B" w14:textId="6D9F06F6" w:rsidR="00B41A88" w:rsidRPr="007749DD" w:rsidRDefault="00B41A88" w:rsidP="00B41A88">
            <w:pPr>
              <w:snapToGrid w:val="0"/>
              <w:rPr>
                <w:color w:val="FF0000"/>
                <w:sz w:val="22"/>
                <w:szCs w:val="22"/>
              </w:rPr>
            </w:pPr>
          </w:p>
        </w:tc>
      </w:tr>
      <w:tr w:rsidR="00B41A88" w:rsidRPr="007749DD" w14:paraId="791E29B1" w14:textId="77777777" w:rsidTr="00873465">
        <w:trPr>
          <w:trHeight w:val="2706"/>
          <w:jc w:val="center"/>
        </w:trPr>
        <w:tc>
          <w:tcPr>
            <w:tcW w:w="704" w:type="dxa"/>
            <w:tcBorders>
              <w:top w:val="single" w:sz="4" w:space="0" w:color="000000" w:themeColor="text1"/>
              <w:left w:val="single" w:sz="4" w:space="0" w:color="000000" w:themeColor="text1"/>
              <w:bottom w:val="single" w:sz="4" w:space="0" w:color="000000" w:themeColor="text1"/>
            </w:tcBorders>
          </w:tcPr>
          <w:p w14:paraId="7541EE0C"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7D5627CF" w14:textId="4AEE3EA0"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23 ust. 3 pkt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D422E4D" w14:textId="157F89A6" w:rsidR="00B41A88" w:rsidRPr="00AC64BA" w:rsidRDefault="00B41A88" w:rsidP="00B41A88">
            <w:pPr>
              <w:snapToGrid w:val="0"/>
              <w:jc w:val="both"/>
              <w:rPr>
                <w:sz w:val="22"/>
                <w:szCs w:val="22"/>
              </w:rPr>
            </w:pPr>
            <w:r w:rsidRPr="00AC64BA">
              <w:rPr>
                <w:sz w:val="22"/>
                <w:szCs w:val="22"/>
              </w:rPr>
              <w:t>Urząd Ochrony Danych Osobowych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1EF734CA" w14:textId="348AF3EB" w:rsidR="00B41A88" w:rsidRPr="0078357D" w:rsidRDefault="00B41A88" w:rsidP="00B41A88">
            <w:pPr>
              <w:suppressAutoHyphens w:val="0"/>
              <w:autoSpaceDE w:val="0"/>
              <w:autoSpaceDN w:val="0"/>
              <w:adjustRightInd w:val="0"/>
              <w:jc w:val="both"/>
              <w:rPr>
                <w:sz w:val="22"/>
                <w:szCs w:val="22"/>
                <w:lang w:eastAsia="pl-PL"/>
              </w:rPr>
            </w:pPr>
            <w:r w:rsidRPr="0078357D">
              <w:rPr>
                <w:b/>
                <w:bCs/>
                <w:sz w:val="22"/>
                <w:szCs w:val="22"/>
                <w:lang w:eastAsia="pl-PL"/>
              </w:rPr>
              <w:t>Ad art. 23 ust. 3 pkt 1 projektu</w:t>
            </w:r>
            <w:r w:rsidRPr="0078357D">
              <w:rPr>
                <w:sz w:val="22"/>
                <w:szCs w:val="22"/>
                <w:lang w:eastAsia="pl-PL"/>
              </w:rPr>
              <w:t xml:space="preserve"> - projekt ustawy przewiduje, że do wniosku o wszczęcie czynności windykacyjnych dołącza się </w:t>
            </w:r>
            <w:r w:rsidRPr="0078357D">
              <w:rPr>
                <w:i/>
                <w:iCs/>
                <w:sz w:val="22"/>
                <w:szCs w:val="22"/>
                <w:lang w:eastAsia="pl-PL"/>
              </w:rPr>
              <w:t>dokument określający źródło należności mającej być przedmiotem windykacji oraz wyraźne określenie wierzyciela i osoby zobowiązanej</w:t>
            </w:r>
            <w:r w:rsidRPr="0078357D">
              <w:rPr>
                <w:sz w:val="22"/>
                <w:szCs w:val="22"/>
                <w:lang w:eastAsia="pl-PL"/>
              </w:rPr>
              <w:t>. Pojęcie „dokumentu” ma bardzo szeroki charakter i może oznaczać dowolną pisemną informację przekazaną przez domniemanego wierzyciela. Na podstawie takiego „dokumentu” będą mogły być prowadzone daleko ingerujące w prywatność działania windykacyjne wobec osoby, które mogą być ograniczane dopiero następczym sprzeciwem wobec danego przedsiębiorcy windykacyjnego. Dlatego projektowany przepis powinien precyzować, że „dokumentem” są dokumenty urzędowe takie jak tytuły egzekucyjne, które w polskim porządku prawnym dowodzą istnienia danego zobowiązania. Odpowiadałoby to ww. zasadom dotyczącym przetwarzania danych osobowych.</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5D9CF6" w14:textId="74DAAF12" w:rsidR="00B41A88" w:rsidRPr="00113433" w:rsidRDefault="00113433" w:rsidP="00113433">
            <w:pPr>
              <w:snapToGrid w:val="0"/>
              <w:jc w:val="both"/>
              <w:rPr>
                <w:b/>
                <w:bCs/>
                <w:sz w:val="22"/>
                <w:szCs w:val="22"/>
              </w:rPr>
            </w:pPr>
            <w:r w:rsidRPr="00113433">
              <w:rPr>
                <w:b/>
                <w:bCs/>
                <w:sz w:val="22"/>
                <w:szCs w:val="22"/>
              </w:rPr>
              <w:t>Nie uwzględniono</w:t>
            </w:r>
            <w:r w:rsidR="00B41A88" w:rsidRPr="00113433">
              <w:rPr>
                <w:b/>
                <w:bCs/>
                <w:sz w:val="22"/>
                <w:szCs w:val="22"/>
              </w:rPr>
              <w:t>.</w:t>
            </w:r>
          </w:p>
          <w:p w14:paraId="0CB0E3C1" w14:textId="26A1ECD7" w:rsidR="00B41A88" w:rsidRPr="00113433" w:rsidRDefault="00B41A88" w:rsidP="00113433">
            <w:pPr>
              <w:snapToGrid w:val="0"/>
              <w:jc w:val="both"/>
              <w:rPr>
                <w:sz w:val="22"/>
                <w:szCs w:val="22"/>
              </w:rPr>
            </w:pPr>
            <w:r w:rsidRPr="00113433">
              <w:rPr>
                <w:sz w:val="22"/>
                <w:szCs w:val="22"/>
              </w:rPr>
              <w:t xml:space="preserve">Pojęcie dokumentu jest dostatecznie precyzyjne w rozumieniu przepisów kodeksu cywilnego. Przy czym dokument określający źródło należności nie będzie powszechnie dostępny, będzie złożony do akt windykacyjnych. Osoba zobowiązana będzie mogła zapoznać się z podstawą należności, aby móc zweryfikować czy windykowany dług rzeczywiście istnieje. </w:t>
            </w:r>
          </w:p>
        </w:tc>
      </w:tr>
      <w:tr w:rsidR="00B41A88" w:rsidRPr="007749DD" w14:paraId="5B2584E8" w14:textId="77777777" w:rsidTr="00873465">
        <w:trPr>
          <w:trHeight w:val="2004"/>
          <w:jc w:val="center"/>
        </w:trPr>
        <w:tc>
          <w:tcPr>
            <w:tcW w:w="704" w:type="dxa"/>
            <w:tcBorders>
              <w:top w:val="single" w:sz="4" w:space="0" w:color="000000" w:themeColor="text1"/>
              <w:left w:val="single" w:sz="4" w:space="0" w:color="000000" w:themeColor="text1"/>
              <w:bottom w:val="single" w:sz="4" w:space="0" w:color="000000" w:themeColor="text1"/>
            </w:tcBorders>
          </w:tcPr>
          <w:p w14:paraId="16CDB19F"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6C23CC38" w14:textId="015B7EC7"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24 ust.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45E67AC" w14:textId="62E9CE02" w:rsidR="00B41A88" w:rsidRPr="00AC64BA" w:rsidRDefault="00B41A88" w:rsidP="00B41A88">
            <w:pPr>
              <w:snapToGrid w:val="0"/>
              <w:jc w:val="both"/>
              <w:rPr>
                <w:sz w:val="22"/>
                <w:szCs w:val="22"/>
              </w:rPr>
            </w:pPr>
            <w:r w:rsidRPr="00AC64BA">
              <w:rPr>
                <w:sz w:val="22"/>
                <w:szCs w:val="22"/>
              </w:rPr>
              <w:t>Urząd Ochrony Danych Osobowych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24BBF78B" w14:textId="3E3748C2" w:rsidR="00B41A88" w:rsidRPr="0078357D" w:rsidRDefault="00B41A88" w:rsidP="00B41A88">
            <w:pPr>
              <w:suppressAutoHyphens w:val="0"/>
              <w:autoSpaceDE w:val="0"/>
              <w:autoSpaceDN w:val="0"/>
              <w:adjustRightInd w:val="0"/>
              <w:jc w:val="both"/>
              <w:rPr>
                <w:sz w:val="22"/>
                <w:szCs w:val="22"/>
                <w:lang w:eastAsia="pl-PL"/>
              </w:rPr>
            </w:pPr>
            <w:r w:rsidRPr="0078357D">
              <w:rPr>
                <w:b/>
                <w:bCs/>
                <w:sz w:val="22"/>
                <w:szCs w:val="22"/>
                <w:lang w:eastAsia="pl-PL"/>
              </w:rPr>
              <w:t>Ad art. 24 ust. 2 projektu</w:t>
            </w:r>
            <w:r w:rsidRPr="0078357D">
              <w:rPr>
                <w:sz w:val="22"/>
                <w:szCs w:val="22"/>
                <w:lang w:eastAsia="pl-PL"/>
              </w:rPr>
              <w:t xml:space="preserve"> - projekt ustawy przewiduje, że </w:t>
            </w:r>
            <w:r w:rsidRPr="0078357D">
              <w:rPr>
                <w:i/>
                <w:iCs/>
                <w:sz w:val="22"/>
                <w:szCs w:val="22"/>
                <w:lang w:eastAsia="pl-PL"/>
              </w:rPr>
              <w:t>nota windykacyjna zawiera co najmniej: (…)</w:t>
            </w:r>
            <w:r w:rsidRPr="0078357D">
              <w:rPr>
                <w:sz w:val="22"/>
                <w:szCs w:val="22"/>
                <w:lang w:eastAsia="pl-PL"/>
              </w:rPr>
              <w:t xml:space="preserve">. Z uwagi na fakt, że nota windykacyjna zawierać będzie również dane osobowe, z projektowanego przepisu powinien zostać usunięty zwrot „co najmniej”, gdyż tworzy on otwarty katalog danych osobowych. Dodatkowo, że redakcja art. 24 ust. 2 pkt 2 projektu ustawy, zgodnie z którą w nocie windykacyjnej mają znaleźć się również </w:t>
            </w:r>
            <w:r w:rsidRPr="0078357D">
              <w:rPr>
                <w:i/>
                <w:iCs/>
                <w:sz w:val="22"/>
                <w:szCs w:val="22"/>
                <w:lang w:eastAsia="pl-PL"/>
              </w:rPr>
              <w:t xml:space="preserve">dane określające, w sposób niebudzący wątpliwości, tożsamość pierwotnego i aktualnego wierzyciela </w:t>
            </w:r>
            <w:r w:rsidRPr="0078357D">
              <w:rPr>
                <w:sz w:val="22"/>
                <w:szCs w:val="22"/>
                <w:lang w:eastAsia="pl-PL"/>
              </w:rPr>
              <w:t>jest nieprecyzyjna – projektodawca powinien określić w ustawie zamknięty katalog danych, który będzie potwierdzał tożsamość wierzyciela. Odpowiadałoby to ww. zasadom dotyczącym przetwarzania danych osobowych.</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FB64C7" w14:textId="75BAAA2F" w:rsidR="00B41A88" w:rsidRPr="00113433" w:rsidRDefault="00113433" w:rsidP="00B41A88">
            <w:pPr>
              <w:snapToGrid w:val="0"/>
              <w:rPr>
                <w:b/>
                <w:bCs/>
                <w:sz w:val="22"/>
                <w:szCs w:val="22"/>
              </w:rPr>
            </w:pPr>
            <w:r w:rsidRPr="00113433">
              <w:rPr>
                <w:b/>
                <w:bCs/>
                <w:sz w:val="22"/>
                <w:szCs w:val="22"/>
              </w:rPr>
              <w:t>Uwzględniono</w:t>
            </w:r>
            <w:r w:rsidR="00B41A88" w:rsidRPr="00113433">
              <w:rPr>
                <w:b/>
                <w:bCs/>
                <w:sz w:val="22"/>
                <w:szCs w:val="22"/>
              </w:rPr>
              <w:t>.</w:t>
            </w:r>
          </w:p>
          <w:p w14:paraId="650FD351" w14:textId="77777777" w:rsidR="00B41A88" w:rsidRPr="00113433" w:rsidRDefault="00B41A88" w:rsidP="00B41A88">
            <w:pPr>
              <w:snapToGrid w:val="0"/>
              <w:rPr>
                <w:sz w:val="22"/>
                <w:szCs w:val="22"/>
              </w:rPr>
            </w:pPr>
          </w:p>
          <w:p w14:paraId="5A1462F7" w14:textId="2B2AB952" w:rsidR="00B41A88" w:rsidRPr="00113433" w:rsidRDefault="00B41A88" w:rsidP="00113433">
            <w:pPr>
              <w:snapToGrid w:val="0"/>
              <w:jc w:val="both"/>
              <w:rPr>
                <w:color w:val="FF0000"/>
                <w:sz w:val="22"/>
                <w:szCs w:val="22"/>
              </w:rPr>
            </w:pPr>
            <w:r w:rsidRPr="00113433">
              <w:rPr>
                <w:sz w:val="22"/>
                <w:szCs w:val="22"/>
              </w:rPr>
              <w:t>Wprowadza się zamknięty katalog informacji wymaganych w nocie.</w:t>
            </w:r>
          </w:p>
        </w:tc>
      </w:tr>
      <w:tr w:rsidR="00B41A88" w:rsidRPr="007749DD" w14:paraId="67327B32" w14:textId="77777777" w:rsidTr="00873465">
        <w:trPr>
          <w:trHeight w:val="2429"/>
          <w:jc w:val="center"/>
        </w:trPr>
        <w:tc>
          <w:tcPr>
            <w:tcW w:w="704" w:type="dxa"/>
            <w:tcBorders>
              <w:top w:val="single" w:sz="4" w:space="0" w:color="000000" w:themeColor="text1"/>
              <w:left w:val="single" w:sz="4" w:space="0" w:color="000000" w:themeColor="text1"/>
              <w:bottom w:val="single" w:sz="4" w:space="0" w:color="000000" w:themeColor="text1"/>
            </w:tcBorders>
          </w:tcPr>
          <w:p w14:paraId="702171DB"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4E19DD90" w14:textId="1E5CA13A"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26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155B2A8" w14:textId="126C01C7" w:rsidR="00B41A88" w:rsidRPr="00AC64BA" w:rsidRDefault="00B41A88" w:rsidP="00B41A88">
            <w:pPr>
              <w:snapToGrid w:val="0"/>
              <w:jc w:val="both"/>
              <w:rPr>
                <w:sz w:val="22"/>
                <w:szCs w:val="22"/>
              </w:rPr>
            </w:pPr>
            <w:r w:rsidRPr="00AC64BA">
              <w:rPr>
                <w:sz w:val="22"/>
                <w:szCs w:val="22"/>
              </w:rPr>
              <w:t>Urząd Ochrony Danych Osobowych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02223B9A" w14:textId="4C450F16" w:rsidR="00B41A88" w:rsidRPr="0078357D" w:rsidRDefault="00B41A88" w:rsidP="00B41A88">
            <w:pPr>
              <w:suppressAutoHyphens w:val="0"/>
              <w:autoSpaceDE w:val="0"/>
              <w:autoSpaceDN w:val="0"/>
              <w:adjustRightInd w:val="0"/>
              <w:jc w:val="both"/>
              <w:rPr>
                <w:sz w:val="22"/>
                <w:szCs w:val="22"/>
                <w:lang w:eastAsia="pl-PL"/>
              </w:rPr>
            </w:pPr>
            <w:r w:rsidRPr="0078357D">
              <w:rPr>
                <w:b/>
                <w:bCs/>
                <w:sz w:val="22"/>
                <w:szCs w:val="22"/>
                <w:lang w:eastAsia="pl-PL"/>
              </w:rPr>
              <w:t xml:space="preserve">Ad art. 26 ust. 1 projektu </w:t>
            </w:r>
            <w:r w:rsidRPr="0078357D">
              <w:rPr>
                <w:sz w:val="22"/>
                <w:szCs w:val="22"/>
                <w:lang w:eastAsia="pl-PL"/>
              </w:rPr>
              <w:t xml:space="preserve">- projekt ustawy wskazuje, że </w:t>
            </w:r>
            <w:r w:rsidRPr="0078357D">
              <w:rPr>
                <w:i/>
                <w:iCs/>
                <w:sz w:val="22"/>
                <w:szCs w:val="22"/>
                <w:lang w:eastAsia="pl-PL"/>
              </w:rPr>
              <w:t xml:space="preserve">Osoba zobowiązana na każdym etapie windykacji może wnieść sprzeciw wobec podejmowanych w stosunku do niej czynności windykacyjnych. Najpóźniej przy pierwszej czynności należy osobę zobowiązaną pouczyć o prawie żądania zaprzestania czynności windykacyjnych (sprzeciwu). </w:t>
            </w:r>
            <w:r w:rsidRPr="0078357D">
              <w:rPr>
                <w:sz w:val="22"/>
                <w:szCs w:val="22"/>
                <w:lang w:eastAsia="pl-PL"/>
              </w:rPr>
              <w:t xml:space="preserve">Art. 26 ust. 3 projektu ustawy zaś, że </w:t>
            </w:r>
            <w:r w:rsidRPr="0078357D">
              <w:rPr>
                <w:i/>
                <w:iCs/>
                <w:sz w:val="22"/>
                <w:szCs w:val="22"/>
                <w:lang w:eastAsia="pl-PL"/>
              </w:rPr>
              <w:t>Po złożeniu sprzeciwu niedopuszczalne jest ponowne wszczęcie czynności windykacyjnych w stosunku do tej samej osoby zobowiązanej przez to samo przedsiębiorstwo windykacyjne oraz odnośnie tej samej należności</w:t>
            </w:r>
            <w:r w:rsidRPr="0078357D">
              <w:rPr>
                <w:sz w:val="22"/>
                <w:szCs w:val="22"/>
                <w:lang w:eastAsia="pl-PL"/>
              </w:rPr>
              <w:t xml:space="preserve">. Z uwagi na fakt, że projektodawca przyjął w art. 23 ust. 3 pkt 1 projektu ustawy, że windykacja może być prowadzona na podstawie dokumentów, które nie muszą mieć statusu tytułów egzekucyjnych (oparta jest więc na </w:t>
            </w:r>
            <w:proofErr w:type="spellStart"/>
            <w:r w:rsidRPr="0078357D">
              <w:rPr>
                <w:sz w:val="22"/>
                <w:szCs w:val="22"/>
                <w:lang w:eastAsia="pl-PL"/>
              </w:rPr>
              <w:t>obalalnym</w:t>
            </w:r>
            <w:proofErr w:type="spellEnd"/>
            <w:r w:rsidRPr="0078357D">
              <w:rPr>
                <w:sz w:val="22"/>
                <w:szCs w:val="22"/>
                <w:lang w:eastAsia="pl-PL"/>
              </w:rPr>
              <w:t xml:space="preserve"> domniemaniu prawnym), instytucja sprzeciwu w formie zaproponowanej w art. 26 projektu ustawy jest niewystarczająca. Osoba zobowiązana w rozumieniu ustawy, powinna móc złożyć sprzeciw, który byłby przekazywany przez przedsiębiorstwo windykacyjne wierzycielowi i byłby wiążący wobec wszystkich przedsiębiorstw</w:t>
            </w:r>
          </w:p>
          <w:p w14:paraId="5FB3AC99" w14:textId="66F33C9B" w:rsidR="00B41A88" w:rsidRPr="0078357D" w:rsidRDefault="00B41A88" w:rsidP="00B41A88">
            <w:pPr>
              <w:suppressAutoHyphens w:val="0"/>
              <w:autoSpaceDE w:val="0"/>
              <w:autoSpaceDN w:val="0"/>
              <w:adjustRightInd w:val="0"/>
              <w:jc w:val="both"/>
              <w:rPr>
                <w:sz w:val="22"/>
                <w:szCs w:val="22"/>
                <w:lang w:eastAsia="pl-PL"/>
              </w:rPr>
            </w:pPr>
            <w:r w:rsidRPr="0078357D">
              <w:rPr>
                <w:sz w:val="22"/>
                <w:szCs w:val="22"/>
                <w:lang w:eastAsia="pl-PL"/>
              </w:rPr>
              <w:t>windykacyjnych dochodzących tej samej wierzytelności. Odpowiadałoby to ww. zasadom dotyczącym przetwarzania danych osobowych.</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596DA3" w14:textId="77075844" w:rsidR="00B41A88" w:rsidRPr="009510D4" w:rsidRDefault="009510D4" w:rsidP="00B41A88">
            <w:pPr>
              <w:snapToGrid w:val="0"/>
              <w:rPr>
                <w:b/>
                <w:bCs/>
                <w:sz w:val="22"/>
                <w:szCs w:val="22"/>
              </w:rPr>
            </w:pPr>
            <w:r w:rsidRPr="009510D4">
              <w:rPr>
                <w:b/>
                <w:bCs/>
                <w:sz w:val="22"/>
                <w:szCs w:val="22"/>
              </w:rPr>
              <w:t>Nie uwzględniono.</w:t>
            </w:r>
          </w:p>
          <w:p w14:paraId="61BCA2D0" w14:textId="77777777" w:rsidR="00B41A88" w:rsidRPr="00A7497B" w:rsidRDefault="00B41A88" w:rsidP="00B41A88">
            <w:pPr>
              <w:snapToGrid w:val="0"/>
              <w:rPr>
                <w:b/>
                <w:bCs/>
                <w:color w:val="FF0000"/>
                <w:sz w:val="22"/>
                <w:szCs w:val="22"/>
              </w:rPr>
            </w:pPr>
          </w:p>
          <w:p w14:paraId="72DFA0F7" w14:textId="77777777" w:rsidR="00B41A88" w:rsidRPr="006B29D4" w:rsidRDefault="00B41A88" w:rsidP="006B29D4">
            <w:pPr>
              <w:snapToGrid w:val="0"/>
              <w:jc w:val="both"/>
              <w:rPr>
                <w:sz w:val="22"/>
                <w:szCs w:val="22"/>
              </w:rPr>
            </w:pPr>
            <w:r w:rsidRPr="006B29D4">
              <w:rPr>
                <w:sz w:val="22"/>
                <w:szCs w:val="22"/>
              </w:rPr>
              <w:t xml:space="preserve">Sprzeciw jest to instytucja wprowadzona w celu jego podniesienia w danym postępowaniu windykacyjnym wobec konkretnych czynności windykacyjnych. </w:t>
            </w:r>
          </w:p>
          <w:p w14:paraId="0AF1540F" w14:textId="70903305" w:rsidR="00B41A88" w:rsidRPr="007749DD" w:rsidRDefault="00B41A88" w:rsidP="006B29D4">
            <w:pPr>
              <w:snapToGrid w:val="0"/>
              <w:jc w:val="both"/>
              <w:rPr>
                <w:sz w:val="22"/>
                <w:szCs w:val="22"/>
              </w:rPr>
            </w:pPr>
            <w:r w:rsidRPr="006B29D4">
              <w:rPr>
                <w:sz w:val="22"/>
                <w:szCs w:val="22"/>
              </w:rPr>
              <w:t>Przekazywanie sprzeciwu innym przedsiębiorstwom windykacyjnym, które nie prowadzą i nawet nie będą prowadzić działań wobec tej osoby zobowiązanej stanowiłoby nieuzasadnione</w:t>
            </w:r>
            <w:r w:rsidR="006B29D4">
              <w:rPr>
                <w:sz w:val="22"/>
                <w:szCs w:val="22"/>
              </w:rPr>
              <w:t xml:space="preserve"> </w:t>
            </w:r>
            <w:r w:rsidRPr="006B29D4">
              <w:rPr>
                <w:sz w:val="22"/>
                <w:szCs w:val="22"/>
              </w:rPr>
              <w:t>przekazywanie danych osobowych.</w:t>
            </w:r>
            <w:r w:rsidRPr="006B29D4">
              <w:rPr>
                <w:b/>
                <w:bCs/>
                <w:sz w:val="22"/>
                <w:szCs w:val="22"/>
              </w:rPr>
              <w:t xml:space="preserve"> </w:t>
            </w:r>
          </w:p>
        </w:tc>
      </w:tr>
      <w:tr w:rsidR="00B41A88" w:rsidRPr="007749DD" w14:paraId="118509DE"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4E985BA9"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4601466C" w14:textId="6381C4F7"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30 ust. 2 i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9F789E2" w14:textId="1F22381A" w:rsidR="00B41A88" w:rsidRPr="00AC64BA" w:rsidRDefault="00B41A88" w:rsidP="00B41A88">
            <w:pPr>
              <w:snapToGrid w:val="0"/>
              <w:jc w:val="both"/>
              <w:rPr>
                <w:sz w:val="22"/>
                <w:szCs w:val="22"/>
              </w:rPr>
            </w:pPr>
            <w:r w:rsidRPr="00AC64BA">
              <w:rPr>
                <w:sz w:val="22"/>
                <w:szCs w:val="22"/>
              </w:rPr>
              <w:t>Urząd Ochrony Danych Osobowych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6871651C" w14:textId="40209D17" w:rsidR="00B41A88" w:rsidRPr="0078357D" w:rsidRDefault="00B41A88" w:rsidP="00B41A88">
            <w:pPr>
              <w:suppressAutoHyphens w:val="0"/>
              <w:autoSpaceDE w:val="0"/>
              <w:autoSpaceDN w:val="0"/>
              <w:adjustRightInd w:val="0"/>
              <w:jc w:val="both"/>
              <w:rPr>
                <w:sz w:val="22"/>
                <w:szCs w:val="22"/>
                <w:lang w:eastAsia="pl-PL"/>
              </w:rPr>
            </w:pPr>
            <w:r w:rsidRPr="0078357D">
              <w:rPr>
                <w:b/>
                <w:bCs/>
                <w:sz w:val="22"/>
                <w:szCs w:val="22"/>
                <w:lang w:eastAsia="pl-PL"/>
              </w:rPr>
              <w:t xml:space="preserve">Ad art. 30 ust. 2 </w:t>
            </w:r>
            <w:r w:rsidRPr="0078357D">
              <w:rPr>
                <w:sz w:val="22"/>
                <w:szCs w:val="22"/>
                <w:lang w:eastAsia="pl-PL"/>
              </w:rPr>
              <w:t xml:space="preserve">i </w:t>
            </w:r>
            <w:r w:rsidRPr="0078357D">
              <w:rPr>
                <w:b/>
                <w:bCs/>
                <w:sz w:val="22"/>
                <w:szCs w:val="22"/>
                <w:lang w:eastAsia="pl-PL"/>
              </w:rPr>
              <w:t>3 projektu</w:t>
            </w:r>
            <w:r w:rsidRPr="0078357D">
              <w:rPr>
                <w:sz w:val="22"/>
                <w:szCs w:val="22"/>
                <w:lang w:eastAsia="pl-PL"/>
              </w:rPr>
              <w:t xml:space="preserve"> - projekt ustawy przewiduje, że </w:t>
            </w:r>
            <w:r w:rsidRPr="0078357D">
              <w:rPr>
                <w:i/>
                <w:iCs/>
                <w:sz w:val="22"/>
                <w:szCs w:val="22"/>
                <w:lang w:eastAsia="pl-PL"/>
              </w:rPr>
              <w:t xml:space="preserve">2. Czynności windykacyjne połączone z bezpośrednim kontaktem windykatora z osobą zobowiązaną, w tym w miejscu jej zamieszkania lub zatrudnienia możliwe są jedynie po wcześniejszym uzgodnieniu terminu z osobą zobowiązaną, za wyraźną zgodą tej osoby, z zastrzeżeniem ust. 3. 3. W przypadku braku możliwości nawiązania kontaktu z osobą zobowiązaną, niedopuszczalne są wizyty windykatora w miejscu jej zamieszkania w dniach ustawowo wolnych od pracy oraz w pozostałych dniach tygodnia w godzinach od 17 do 9. </w:t>
            </w:r>
            <w:r w:rsidRPr="0078357D">
              <w:rPr>
                <w:sz w:val="22"/>
                <w:szCs w:val="22"/>
                <w:lang w:eastAsia="pl-PL"/>
              </w:rPr>
              <w:t>W pierwszej kolejności należy wskazać, że art. 30 ust. 2 projektu ustawy dotyczy ograniczeń związanych z bezpośrednim kontaktem windykatora z osobą w jej miejscu zamieszkania i miejscu pracy. Natomiast art. 30 ust. 3 – o ograniczeniach wyłącznie w odniesieniu do miejsca zamieszkania osoby zobowiązanej pomijając miejsce zatrudnienia. Art. 30 ust. 3 powinien dotyczyć również miejsca pracy zatrudnionego, gdyż część zakładów pracy funkcjonuje również w porze nocnej oraz w dniach ustawowo wolnych od pracy.</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40E459" w14:textId="0E0D2FED" w:rsidR="00B41A88" w:rsidRPr="00931226" w:rsidRDefault="00931226" w:rsidP="00B41A88">
            <w:pPr>
              <w:snapToGrid w:val="0"/>
              <w:rPr>
                <w:b/>
                <w:bCs/>
                <w:sz w:val="22"/>
                <w:szCs w:val="22"/>
              </w:rPr>
            </w:pPr>
            <w:r w:rsidRPr="00931226">
              <w:rPr>
                <w:b/>
                <w:bCs/>
                <w:sz w:val="22"/>
                <w:szCs w:val="22"/>
              </w:rPr>
              <w:t xml:space="preserve">Uwzględniono </w:t>
            </w:r>
            <w:r w:rsidR="00B41A88" w:rsidRPr="00931226">
              <w:rPr>
                <w:b/>
                <w:bCs/>
                <w:sz w:val="22"/>
                <w:szCs w:val="22"/>
              </w:rPr>
              <w:t xml:space="preserve">poprzez </w:t>
            </w:r>
            <w:r w:rsidR="00270B1F">
              <w:rPr>
                <w:b/>
                <w:bCs/>
                <w:sz w:val="22"/>
                <w:szCs w:val="22"/>
              </w:rPr>
              <w:t>nadanie nowego brzmienia przepisu.</w:t>
            </w:r>
          </w:p>
        </w:tc>
      </w:tr>
      <w:tr w:rsidR="00B41A88" w:rsidRPr="007749DD" w14:paraId="6DF103E1" w14:textId="77777777" w:rsidTr="00873465">
        <w:trPr>
          <w:trHeight w:val="863"/>
          <w:jc w:val="center"/>
        </w:trPr>
        <w:tc>
          <w:tcPr>
            <w:tcW w:w="704" w:type="dxa"/>
            <w:tcBorders>
              <w:top w:val="single" w:sz="4" w:space="0" w:color="000000" w:themeColor="text1"/>
              <w:left w:val="single" w:sz="4" w:space="0" w:color="000000" w:themeColor="text1"/>
              <w:bottom w:val="single" w:sz="4" w:space="0" w:color="000000" w:themeColor="text1"/>
            </w:tcBorders>
          </w:tcPr>
          <w:p w14:paraId="53364B5B"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64F5D5F9" w14:textId="4D85DE8D"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33 ust. 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61E8B39" w14:textId="324C7458" w:rsidR="00B41A88" w:rsidRPr="00AC64BA" w:rsidRDefault="00B41A88" w:rsidP="00B41A88">
            <w:pPr>
              <w:snapToGrid w:val="0"/>
              <w:jc w:val="both"/>
              <w:rPr>
                <w:sz w:val="22"/>
                <w:szCs w:val="22"/>
              </w:rPr>
            </w:pPr>
            <w:r w:rsidRPr="00AC64BA">
              <w:rPr>
                <w:sz w:val="22"/>
                <w:szCs w:val="22"/>
              </w:rPr>
              <w:t>Urząd Ochrony Danych Osobowych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1CCFD46A" w14:textId="6F37861B" w:rsidR="00B41A88" w:rsidRPr="0078357D" w:rsidRDefault="00B41A88" w:rsidP="00B41A88">
            <w:pPr>
              <w:suppressAutoHyphens w:val="0"/>
              <w:autoSpaceDE w:val="0"/>
              <w:autoSpaceDN w:val="0"/>
              <w:adjustRightInd w:val="0"/>
              <w:jc w:val="both"/>
              <w:rPr>
                <w:sz w:val="22"/>
                <w:szCs w:val="22"/>
                <w:lang w:eastAsia="pl-PL"/>
              </w:rPr>
            </w:pPr>
            <w:r w:rsidRPr="0078357D">
              <w:rPr>
                <w:b/>
                <w:bCs/>
                <w:sz w:val="22"/>
                <w:szCs w:val="22"/>
                <w:lang w:eastAsia="pl-PL"/>
              </w:rPr>
              <w:t>Ad art. 33 ust. 4 projektu</w:t>
            </w:r>
            <w:r w:rsidRPr="0078357D">
              <w:rPr>
                <w:sz w:val="22"/>
                <w:szCs w:val="22"/>
                <w:lang w:eastAsia="pl-PL"/>
              </w:rPr>
              <w:t xml:space="preserve"> – w projekcie ustawy planuje się aby </w:t>
            </w:r>
            <w:r w:rsidRPr="0078357D">
              <w:rPr>
                <w:i/>
                <w:iCs/>
                <w:sz w:val="22"/>
                <w:szCs w:val="22"/>
                <w:lang w:eastAsia="pl-PL"/>
              </w:rPr>
              <w:t>Minister właściwy do spraw gospodarki określi, w drodze rozporządzenia, rodzaj dokumentacji, o której mowa w ust. 3 pkt 2, sposób i formy jej prowadzenia oraz okres przechowywania, uwzględniając w szczególności wykaz zatrudnionych przez przedsiębiorcę windykatorów</w:t>
            </w:r>
            <w:r w:rsidRPr="0078357D">
              <w:rPr>
                <w:sz w:val="22"/>
                <w:szCs w:val="22"/>
                <w:lang w:eastAsia="pl-PL"/>
              </w:rPr>
              <w:t>. Okres przechowywania dokumentacji, o której mowa w projektowanym przepisie powinien być określony bezpośrednio w ustawie ze względu na zasadę zgodności z prawem, rzetelności i przejrzystości oraz zasadę ograniczenia przechowywania (art. 5 ust. 1 lit. e rozporządzenia 2016/679). Analogicznie, projektowana ustawa powinna określać okres przechowywania dokumentacji dotyczącej osób zobowiązanych i prowadzonych wobec nich windykacji. Art. 35 projektowanej ustawy mówi o obowiązku prowadzenia przez przedsiębiorstwo windykacyjne dokumentacji w tym zakresie, nie wspomina natomiast o okresie jej przechowywania.</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5C7B99" w14:textId="7D9F12FD" w:rsidR="00237C64" w:rsidRPr="00237C64" w:rsidRDefault="00237C64" w:rsidP="00B41A88">
            <w:pPr>
              <w:snapToGrid w:val="0"/>
              <w:rPr>
                <w:b/>
                <w:bCs/>
                <w:sz w:val="22"/>
                <w:szCs w:val="22"/>
              </w:rPr>
            </w:pPr>
            <w:r w:rsidRPr="00237C64">
              <w:rPr>
                <w:b/>
                <w:bCs/>
                <w:sz w:val="22"/>
                <w:szCs w:val="22"/>
              </w:rPr>
              <w:t>Częściowo uwzględniono poprzez zmianę brzmienia przepisu.</w:t>
            </w:r>
          </w:p>
          <w:p w14:paraId="2CFB3201" w14:textId="32F4EB9E" w:rsidR="00237C64" w:rsidRPr="00122183" w:rsidRDefault="00B41A88" w:rsidP="00237C64">
            <w:pPr>
              <w:snapToGrid w:val="0"/>
              <w:rPr>
                <w:b/>
                <w:bCs/>
                <w:sz w:val="22"/>
                <w:szCs w:val="22"/>
              </w:rPr>
            </w:pPr>
            <w:r w:rsidRPr="6F78DE72">
              <w:rPr>
                <w:sz w:val="22"/>
                <w:szCs w:val="22"/>
              </w:rPr>
              <w:t xml:space="preserve"> </w:t>
            </w:r>
          </w:p>
          <w:p w14:paraId="6C149DA7" w14:textId="31FE8C4D" w:rsidR="00B41A88" w:rsidRPr="00122183" w:rsidRDefault="00B41A88" w:rsidP="00B41A88">
            <w:pPr>
              <w:snapToGrid w:val="0"/>
              <w:rPr>
                <w:b/>
                <w:bCs/>
                <w:sz w:val="22"/>
                <w:szCs w:val="22"/>
              </w:rPr>
            </w:pPr>
          </w:p>
        </w:tc>
      </w:tr>
      <w:tr w:rsidR="00B41A88" w:rsidRPr="007749DD" w14:paraId="595629BC"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6940DB9B"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7835B4D4" w14:textId="235A7509"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35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F671BF5" w14:textId="0E640702" w:rsidR="00B41A88" w:rsidRPr="00AC64BA" w:rsidRDefault="00B41A88" w:rsidP="00B41A88">
            <w:pPr>
              <w:snapToGrid w:val="0"/>
              <w:jc w:val="both"/>
              <w:rPr>
                <w:sz w:val="22"/>
                <w:szCs w:val="22"/>
              </w:rPr>
            </w:pPr>
            <w:r w:rsidRPr="00AC64BA">
              <w:rPr>
                <w:sz w:val="22"/>
                <w:szCs w:val="22"/>
              </w:rPr>
              <w:t>Urząd Ochrony Danych Osobowych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71A8520E" w14:textId="590D22B3" w:rsidR="00B41A88" w:rsidRPr="0078357D" w:rsidRDefault="00B41A88" w:rsidP="00B41A88">
            <w:pPr>
              <w:suppressAutoHyphens w:val="0"/>
              <w:autoSpaceDE w:val="0"/>
              <w:autoSpaceDN w:val="0"/>
              <w:adjustRightInd w:val="0"/>
              <w:jc w:val="both"/>
              <w:rPr>
                <w:sz w:val="22"/>
                <w:szCs w:val="22"/>
                <w:lang w:eastAsia="pl-PL"/>
              </w:rPr>
            </w:pPr>
            <w:r w:rsidRPr="0078357D">
              <w:rPr>
                <w:b/>
                <w:bCs/>
                <w:sz w:val="22"/>
                <w:szCs w:val="22"/>
                <w:lang w:eastAsia="pl-PL"/>
              </w:rPr>
              <w:t xml:space="preserve">Ad art. 35 ust. 1 projektu </w:t>
            </w:r>
            <w:r w:rsidRPr="0078357D">
              <w:rPr>
                <w:sz w:val="22"/>
                <w:szCs w:val="22"/>
                <w:lang w:eastAsia="pl-PL"/>
              </w:rPr>
              <w:t xml:space="preserve">- projekt ustawy przewiduje, że </w:t>
            </w:r>
            <w:r w:rsidRPr="0078357D">
              <w:rPr>
                <w:i/>
                <w:iCs/>
                <w:sz w:val="22"/>
                <w:szCs w:val="22"/>
                <w:lang w:eastAsia="pl-PL"/>
              </w:rPr>
              <w:t>Przedsiębiorstwo windykacyjne prowadzi i na bieżąco aktualizuje listę prowadzonych windykacji, zawierającą w szczególności: dane osób zobowiązanych, oznaczenie akt windykacyjnych, wykaz podejmowanych czynności windykacyjnych ze wskazaniem ich daty i miejsca, złożonych w toku windykacji sprzeciwów i zastrzeżeń</w:t>
            </w:r>
            <w:r w:rsidRPr="0078357D">
              <w:rPr>
                <w:sz w:val="22"/>
                <w:szCs w:val="22"/>
                <w:lang w:eastAsia="pl-PL"/>
              </w:rPr>
              <w:t>. Projektodawca powinien określić jakie „dane osób zobowiązanych” będą przetwarzane w ramach listy prowadzonych windykacji dla zachowania zgodności z zasadami dotyczącymi przetwarzania danych osobowych: zgodności z prawem, rzetelności i przejrzystości, ograniczenia celu oraz minimalizacji danych.</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C434FE" w14:textId="6B1AEABC" w:rsidR="003E4F85" w:rsidRPr="003E4F85" w:rsidRDefault="00045FEB" w:rsidP="003E4F85">
            <w:pPr>
              <w:snapToGrid w:val="0"/>
              <w:rPr>
                <w:b/>
                <w:bCs/>
                <w:sz w:val="22"/>
                <w:szCs w:val="22"/>
              </w:rPr>
            </w:pPr>
            <w:r w:rsidRPr="003E4F85">
              <w:rPr>
                <w:b/>
                <w:bCs/>
                <w:sz w:val="22"/>
                <w:szCs w:val="22"/>
              </w:rPr>
              <w:t>Uwzględniono</w:t>
            </w:r>
            <w:r w:rsidR="003E4F85" w:rsidRPr="003E4F85">
              <w:rPr>
                <w:b/>
                <w:bCs/>
                <w:sz w:val="22"/>
                <w:szCs w:val="22"/>
              </w:rPr>
              <w:t>.</w:t>
            </w:r>
          </w:p>
          <w:p w14:paraId="6160CAEF" w14:textId="70E5504F" w:rsidR="00B41A88" w:rsidRPr="00122183" w:rsidRDefault="00B41A88" w:rsidP="00B41A88">
            <w:pPr>
              <w:snapToGrid w:val="0"/>
              <w:rPr>
                <w:b/>
                <w:bCs/>
                <w:sz w:val="22"/>
                <w:szCs w:val="22"/>
              </w:rPr>
            </w:pPr>
          </w:p>
        </w:tc>
      </w:tr>
      <w:tr w:rsidR="00B41A88" w:rsidRPr="007749DD" w14:paraId="3514E506"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6749A0C6"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0EA9C385" w14:textId="5F41793E"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1BE74E6" w14:textId="2E6DA295" w:rsidR="00B41A88" w:rsidRPr="00AC64BA" w:rsidRDefault="00B41A88" w:rsidP="00B41A88">
            <w:pPr>
              <w:snapToGrid w:val="0"/>
              <w:jc w:val="both"/>
              <w:rPr>
                <w:sz w:val="22"/>
                <w:szCs w:val="22"/>
              </w:rPr>
            </w:pPr>
            <w:r w:rsidRPr="00AC64BA">
              <w:rPr>
                <w:sz w:val="22"/>
                <w:szCs w:val="22"/>
              </w:rPr>
              <w:t>Urząd Ochrony Danych Osobowych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22975C25" w14:textId="50481521" w:rsidR="00B41A88" w:rsidRPr="0078357D" w:rsidRDefault="00B41A88" w:rsidP="00B41A88">
            <w:pPr>
              <w:suppressAutoHyphens w:val="0"/>
              <w:autoSpaceDE w:val="0"/>
              <w:autoSpaceDN w:val="0"/>
              <w:adjustRightInd w:val="0"/>
              <w:jc w:val="both"/>
              <w:rPr>
                <w:b/>
                <w:bCs/>
                <w:sz w:val="22"/>
                <w:szCs w:val="22"/>
                <w:lang w:eastAsia="pl-PL"/>
              </w:rPr>
            </w:pPr>
            <w:r w:rsidRPr="0078357D">
              <w:rPr>
                <w:b/>
                <w:bCs/>
                <w:sz w:val="22"/>
                <w:szCs w:val="22"/>
                <w:lang w:eastAsia="pl-PL"/>
              </w:rPr>
              <w:t>Uwaga ogólna do projektu</w:t>
            </w:r>
            <w:r w:rsidRPr="0078357D">
              <w:rPr>
                <w:sz w:val="22"/>
                <w:szCs w:val="22"/>
                <w:lang w:eastAsia="pl-PL"/>
              </w:rPr>
              <w:t xml:space="preserve"> - projektodawca powinien dokonać testu prywatności w procesie tworzenia prawa, w tym oceny skutków dla ochrony danych – art. 25 ust. 1 rozporządzenia 2016/679 (uwzględniając stan wiedzy technicznej, koszt wdrażania oraz charakter, zakres, kontekst i cele przetwarzania oraz ryzyko naruszenia praw lub wolności osób fizycznych o różnym prawdopodobieństwie wystąpienia i wadze zagrożenia wynikające z przetwarzania, administrator – zarówno przy określaniu sposobów przetwarzania, jak i w czasie samego przetwarzania –wdraża odpowiednie środki techniczne i organizacyjne, takie jak </w:t>
            </w:r>
            <w:proofErr w:type="spellStart"/>
            <w:r w:rsidRPr="0078357D">
              <w:rPr>
                <w:sz w:val="22"/>
                <w:szCs w:val="22"/>
                <w:lang w:eastAsia="pl-PL"/>
              </w:rPr>
              <w:t>pseudonimizacja</w:t>
            </w:r>
            <w:proofErr w:type="spellEnd"/>
            <w:r w:rsidRPr="0078357D">
              <w:rPr>
                <w:sz w:val="22"/>
                <w:szCs w:val="22"/>
                <w:lang w:eastAsia="pl-PL"/>
              </w:rPr>
              <w:t>, zaprojektowane w celu skutecznej realizacji zasad ochrony danych, takich jak minimalizacja danych, oraz w celu nadania przetwarzaniu niezbędnych zabezpieczeń, tak by spełnić wymogi niniejszego rozporządzenia oraz chronić prawa osób, których dane dotyczą) tj. przy określaniu sposobów przetwarzania, jak i art. 35 (w szczególności ust. 1 (jeżeli dany rodzaj przetwarzania – w szczególności z użyciem nowych technologii – ze względu na swój charakter, zakres, kontekst i cele z dużym prawdopodobieństwem może powodować wysokie ryzyko naruszenia praw lub wolności osób fizycznych, administrator przed rozpoczęciem przetwarzania dokonuje oceny skutków planowanych operacji przetwarzania dla ochrony danych osobowych. Dla podobnych operacji przetwarzania danych wiążących się z podobnym wysokim ryzykiem można przeprowadzić pojedynczą ocenę.) i ust. 10 (ust. 1–7 nie mają zastosowania, jeżeli przetwarzanie na mocy art. 6 ust. 1 lit. c) lub e) ma podstawę prawną w prawie Unii lub w prawie państwa członkowskiego, któremu podlega administrator, i prawo takie reguluje daną operację przetwarzania lub zestaw operacji, a oceny skutków dla ochrony danych dokonano już w ramach oceny skutków regulacji w związku z przyjęciem tej podstawy prawnej – chyba że państwa członkowskie uznają za niezbędne, by przed podjęciem czynności przetwarzania dokonać oceny skutków dla ochrony danych), tj. w związku z przyjmowaniem podstawy prawnej przetwarzania.</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690C1C" w14:textId="3B3FE772" w:rsidR="00D7666B" w:rsidRPr="007434B7" w:rsidRDefault="007434B7" w:rsidP="00B41A88">
            <w:pPr>
              <w:snapToGrid w:val="0"/>
              <w:rPr>
                <w:b/>
                <w:sz w:val="22"/>
                <w:szCs w:val="22"/>
              </w:rPr>
            </w:pPr>
            <w:r w:rsidRPr="007434B7">
              <w:rPr>
                <w:b/>
                <w:sz w:val="22"/>
                <w:szCs w:val="22"/>
              </w:rPr>
              <w:t>Uwaga została przeanalizowana.</w:t>
            </w:r>
          </w:p>
          <w:p w14:paraId="23B6C0F3" w14:textId="424C47BE" w:rsidR="00D7666B" w:rsidRPr="007434B7" w:rsidRDefault="00D7666B" w:rsidP="00B41A88">
            <w:pPr>
              <w:snapToGrid w:val="0"/>
              <w:rPr>
                <w:b/>
                <w:sz w:val="22"/>
                <w:szCs w:val="22"/>
              </w:rPr>
            </w:pPr>
          </w:p>
        </w:tc>
      </w:tr>
      <w:tr w:rsidR="00B41A88" w:rsidRPr="007749DD" w14:paraId="3CF5B57E"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354E1603"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76DD2887" w14:textId="77777777"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13 ust. 1</w:t>
            </w:r>
          </w:p>
          <w:p w14:paraId="0FAF2E62" w14:textId="1D68B96F"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pkt. 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E932F68" w14:textId="089C4E9D" w:rsidR="00B41A88" w:rsidRPr="00AC64BA" w:rsidRDefault="00B41A88" w:rsidP="00B41A88">
            <w:pPr>
              <w:snapToGrid w:val="0"/>
              <w:jc w:val="both"/>
              <w:rPr>
                <w:sz w:val="22"/>
                <w:szCs w:val="22"/>
              </w:rPr>
            </w:pPr>
            <w:r w:rsidRPr="00AC64BA">
              <w:rPr>
                <w:sz w:val="22"/>
                <w:szCs w:val="22"/>
              </w:rPr>
              <w:t>Rzecznik Praw Obywatelskich</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7F8E7F65" w14:textId="76A198FA" w:rsidR="00B41A88" w:rsidRPr="0078357D" w:rsidRDefault="00B41A88" w:rsidP="00B41A88">
            <w:pPr>
              <w:suppressAutoHyphens w:val="0"/>
              <w:autoSpaceDE w:val="0"/>
              <w:autoSpaceDN w:val="0"/>
              <w:adjustRightInd w:val="0"/>
              <w:jc w:val="both"/>
              <w:rPr>
                <w:b/>
                <w:bCs/>
                <w:sz w:val="22"/>
                <w:szCs w:val="22"/>
                <w:lang w:eastAsia="pl-PL"/>
              </w:rPr>
            </w:pPr>
            <w:r w:rsidRPr="128D0BD6">
              <w:rPr>
                <w:b/>
                <w:bCs/>
                <w:sz w:val="22"/>
                <w:szCs w:val="22"/>
                <w:lang w:eastAsia="pl-PL"/>
              </w:rPr>
              <w:t>Ad. art. 13 ust. 1 pkt. 6 projektu</w:t>
            </w:r>
            <w:r w:rsidRPr="128D0BD6">
              <w:rPr>
                <w:sz w:val="22"/>
                <w:szCs w:val="22"/>
                <w:lang w:eastAsia="pl-PL"/>
              </w:rPr>
              <w:t xml:space="preserve"> – zgodnie z przywołanym przepisem o licencję windykatora może ubiegać się osoba która posiada wykształcenie średnie i ukończyła prowadzony przez szkołę wyższą kurs specjalistyczny obejmujący zagadnienia z podstaw prawa cywilnego, prawa karnego, postępowania cywilnego i postępowania karnego lub posiada wykształcenie wyższe. Jak podnosi sam projektodawca, celem wprowadzanych regulacji jest to, aby o wydanie licencji zawodowej windykatora mogły ubiegać się osoby dające rękojmię należytego wykonania zawodu, charakteryzujące się wysokimi kompetencjami. Jedną z gwarancji prowadzenia czynności windykacyjnych wobec osób zobowiązanych w sposób nie naruszający ich praw jest odpowiednie przeszkolenie osób ubiegających się o licencję windykatora w zakresie prawa cywilnego i karnego. Bez wątpienia chociażby podstawowa wiedza z zakresu tych regulacji prawnych jest konieczna przy wykonywaniu zawodu windykatora. Niemniej jednak, moim zdaniem, projektowany przepis wydaje się w przedmiotowym zakresie nieprecyzyjny i nie odpowiada założeniom projektodawcy. Wynika z niego, że od osoby </w:t>
            </w:r>
            <w:r w:rsidRPr="128D0BD6">
              <w:rPr>
                <w:sz w:val="22"/>
                <w:szCs w:val="22"/>
                <w:lang w:eastAsia="pl-PL"/>
              </w:rPr>
              <w:lastRenderedPageBreak/>
              <w:t>posiadającej wyższe wykształcenie, które jest ujęte w projektowanym przepisie ogólnie, nie jest wymagane potwierdzenie posiadania przeszkolenia w zakresie ww. zagadnień. Tymczasem kierunek studiów w szkole wyższej ukończony przez osobę ubiegającą się o licencję nie musi mieć związku z zagadnieniami z zakresu wyżej wymienionych dziedzin prawa. Samo wykształcenie wyższe może okazać się zatem niewystarczającą gwarancją odpowiednich kwalifikacji windykatorów, umożliwiających ochronę przed naruszaniem praw osób zobowiązanych. Z tych samych powodów, w mojej ocenie warto rozważyć doprecyzowanie, przynajmniej na poziomie aktu wykonawczego, zakresu kursu specjalistycznego wymienionego w cytowanym wyżej przepisie poprzez określenie chociażby zakresu szkolenia, wymagań dotyczących treści oraz realizacji programu szkolenia, a także liczby godzin szkoleniowych wymaganych dla poszczególnych zagadnień z zakresu ww. dziedzin prawa.</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051706" w14:textId="6A749322" w:rsidR="00B41A88" w:rsidRPr="00683A19" w:rsidRDefault="00683A19" w:rsidP="00B41A88">
            <w:pPr>
              <w:snapToGrid w:val="0"/>
              <w:rPr>
                <w:b/>
                <w:bCs/>
                <w:sz w:val="22"/>
                <w:szCs w:val="22"/>
              </w:rPr>
            </w:pPr>
            <w:r w:rsidRPr="00683A19">
              <w:rPr>
                <w:b/>
                <w:bCs/>
                <w:sz w:val="22"/>
                <w:szCs w:val="22"/>
              </w:rPr>
              <w:lastRenderedPageBreak/>
              <w:t>Uwzględniono.</w:t>
            </w:r>
          </w:p>
          <w:p w14:paraId="2780F7C5" w14:textId="77777777" w:rsidR="00B41A88" w:rsidRPr="00683A19" w:rsidRDefault="00B41A88" w:rsidP="00B41A88">
            <w:pPr>
              <w:snapToGrid w:val="0"/>
              <w:rPr>
                <w:b/>
                <w:bCs/>
                <w:sz w:val="22"/>
                <w:szCs w:val="22"/>
              </w:rPr>
            </w:pPr>
          </w:p>
          <w:p w14:paraId="18BA44FF" w14:textId="153D62C9" w:rsidR="00B41A88" w:rsidRPr="00683A19" w:rsidRDefault="00B41A88" w:rsidP="00B41A88">
            <w:pPr>
              <w:snapToGrid w:val="0"/>
              <w:rPr>
                <w:sz w:val="22"/>
                <w:szCs w:val="22"/>
              </w:rPr>
            </w:pPr>
          </w:p>
        </w:tc>
      </w:tr>
      <w:tr w:rsidR="00B41A88" w:rsidRPr="007749DD" w14:paraId="070FE3E7"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3E9BCB55"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79D446BB" w14:textId="7D10E88C"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58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FAA5F61" w14:textId="0FE3BF9A" w:rsidR="00B41A88" w:rsidRPr="00AC64BA" w:rsidRDefault="00B41A88" w:rsidP="00B41A88">
            <w:pPr>
              <w:snapToGrid w:val="0"/>
              <w:jc w:val="both"/>
              <w:rPr>
                <w:sz w:val="22"/>
                <w:szCs w:val="22"/>
              </w:rPr>
            </w:pPr>
            <w:r w:rsidRPr="00AC64BA">
              <w:rPr>
                <w:sz w:val="22"/>
                <w:szCs w:val="22"/>
              </w:rPr>
              <w:t>Narodowy Bank Polski</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2619F85D" w14:textId="79116E0F" w:rsidR="00B41A88" w:rsidRPr="0078357D" w:rsidRDefault="00B41A88" w:rsidP="00B41A88">
            <w:pPr>
              <w:pStyle w:val="Tekstpodstawowywcity"/>
              <w:spacing w:before="120"/>
              <w:ind w:left="0"/>
              <w:jc w:val="both"/>
              <w:rPr>
                <w:sz w:val="22"/>
                <w:szCs w:val="22"/>
              </w:rPr>
            </w:pPr>
            <w:r w:rsidRPr="0078357D">
              <w:rPr>
                <w:b/>
                <w:bCs/>
                <w:sz w:val="22"/>
                <w:szCs w:val="22"/>
              </w:rPr>
              <w:t xml:space="preserve">Ad art. 58 projektu </w:t>
            </w:r>
            <w:r w:rsidRPr="0078357D">
              <w:rPr>
                <w:sz w:val="22"/>
                <w:szCs w:val="22"/>
              </w:rPr>
              <w:t xml:space="preserve">- przepis art. 58 projektowanej ustawy obejmuje zmianę w ustawie z dnia 12 maja 2011 r. </w:t>
            </w:r>
            <w:r w:rsidRPr="0078357D">
              <w:rPr>
                <w:i/>
                <w:iCs/>
                <w:sz w:val="22"/>
                <w:szCs w:val="22"/>
              </w:rPr>
              <w:t>o kredycie konsumenckim</w:t>
            </w:r>
            <w:r w:rsidRPr="0078357D">
              <w:rPr>
                <w:sz w:val="22"/>
                <w:szCs w:val="22"/>
              </w:rPr>
              <w:t xml:space="preserve"> (Dz. U. z 2022 r. poz. 246) poprzez dodanie art. 6a stanowiącego </w:t>
            </w:r>
            <w:r w:rsidRPr="0078357D">
              <w:rPr>
                <w:i/>
                <w:iCs/>
                <w:sz w:val="22"/>
                <w:szCs w:val="22"/>
              </w:rPr>
              <w:t xml:space="preserve">lex </w:t>
            </w:r>
            <w:proofErr w:type="spellStart"/>
            <w:r w:rsidRPr="0078357D">
              <w:rPr>
                <w:i/>
                <w:iCs/>
                <w:sz w:val="22"/>
                <w:szCs w:val="22"/>
              </w:rPr>
              <w:t>specialis</w:t>
            </w:r>
            <w:proofErr w:type="spellEnd"/>
            <w:r w:rsidRPr="0078357D">
              <w:rPr>
                <w:sz w:val="22"/>
                <w:szCs w:val="22"/>
              </w:rPr>
              <w:t xml:space="preserve"> do art. 125 </w:t>
            </w:r>
            <w:proofErr w:type="spellStart"/>
            <w:r w:rsidRPr="0078357D">
              <w:rPr>
                <w:sz w:val="22"/>
                <w:szCs w:val="22"/>
              </w:rPr>
              <w:t>kc</w:t>
            </w:r>
            <w:proofErr w:type="spellEnd"/>
            <w:r w:rsidRPr="0078357D">
              <w:rPr>
                <w:sz w:val="22"/>
                <w:szCs w:val="22"/>
              </w:rPr>
              <w:t>. Proponowany przepis przewiduje skrócenie (z 6 do 3 lat) okresu przedawnienia roszczeń przeciwko konsumentowi, wynikających z umowy o kredyt konsumencki, stwierdzonych prawomocnym orzeczeniem sądu lub innego organu powołanego do rozpoznania spraw danego rodzaju, jak również stwierdzonych ugodą zawartą przed sądem albo ugodą zawartą przed mediatorem i zatwierdzonych przez sąd. W praktyce oznaczać to będzie skrócenie czasu, w którym wierzyciel dysponujący tytułem egzekucyjnym może wystąpić o wszczęcie postępowania egzekucyjnego lub wznowienie postępowania umorzonego z powodu bezskuteczności egzekucji. Wydaje się że w przypadku roszczeń obiektywnie ustalonych (stwierdzonych tytułem egzekucyjnym) nie ma potrzeby zrównania ochrony dłużnika w takim samym stopniu, jak w przypadku gdy roszczenie nie zostało ustalone. Wskazywane w uzasadnieniu argumenty odnośnie konieczności dyscyplinowania wierzyciela do zainicjowania postępowania egzekucyjnego przeciwko konsumentowi nie uwzględniają przypadków utrudniania przez dłużników postępowania egzekucyjnego, co uniemożliwia wszczęcie postępowania egzekucyjnego lub prowadzi do umorzenia postępowania ze względu na bezskuteczność egzekucji. Troska ustawodawcy, aby konsument nie pozostawał w niepewności czy wierzyciel wystąpi w stosunku do niego o wszczęcie postępowania egzekucyjnego, w sytuacji gdy istnieje tytuł egzekucyjny i dług jest potwierdzony, prowadzi do uprzywilejowania dłużnika w stosunku do wierzyciela, który w celu uzyskania tytułu egzekucyjnego musiał wcześniej podjąć odpowiednie, określone prawem działania w celu dochodzenia roszczeń i ponieść koszty dochodzenia tych roszczeń. W uzasadnieniu wyjaśniono, że „</w:t>
            </w:r>
            <w:r w:rsidRPr="0078357D">
              <w:rPr>
                <w:i/>
                <w:iCs/>
                <w:sz w:val="22"/>
                <w:szCs w:val="22"/>
              </w:rPr>
              <w:t xml:space="preserve">sytuacja, w której roszczenie przedsiębiorcy będącego kredytodawcą, instytucją pożyczkową, przedawnia się z upływem 3 lat, a roszczenia tych podmiotów m.in. przeciwko konsumentowi, stwierdzone już prawomocnym orzeczeniem sądu dopiero po </w:t>
            </w:r>
            <w:r w:rsidRPr="0078357D">
              <w:rPr>
                <w:i/>
                <w:iCs/>
                <w:sz w:val="22"/>
                <w:szCs w:val="22"/>
              </w:rPr>
              <w:lastRenderedPageBreak/>
              <w:t>6 latach, jest niespójna i wymaga interwencji legislacyjnej</w:t>
            </w:r>
            <w:r w:rsidRPr="0078357D">
              <w:rPr>
                <w:sz w:val="22"/>
                <w:szCs w:val="22"/>
              </w:rPr>
              <w:t xml:space="preserve">”. Zauważyć jednak należy, że są to dwa różne okresy przedawnienia odnoszące się do odmiennych przypadków, i podobne rozróżnienie przewiduje również k.c. (por. art. 118 i art. 125 § 1 k.c.). Ponadto ustawą z dnia 13 kwietnia 2018 r. </w:t>
            </w:r>
            <w:r w:rsidRPr="0078357D">
              <w:rPr>
                <w:i/>
                <w:iCs/>
                <w:sz w:val="22"/>
                <w:szCs w:val="22"/>
              </w:rPr>
              <w:t>o zmianie ustawy – Kodeks cywilny oraz niektórych innych ustaw</w:t>
            </w:r>
            <w:r w:rsidRPr="0078357D">
              <w:rPr>
                <w:sz w:val="22"/>
                <w:szCs w:val="22"/>
              </w:rPr>
              <w:t xml:space="preserve"> (Dz. U. poz. 1104) skrócono okres przedawnienia roszczenia stwierdzonego prawomocnym orzeczeniem sądu z 10 do 6 lat. Dalsze skrócenie tego okresu wymaga ponownej analizy. Wydaje się bowiem, że zaproponowana zmiana generalnie nie usprawni postępowań egzekucyjnych, ale zmusi wierzycieli do częstszego wznawiania postępowań egzekucyjnych umorzonych ze względu na bezskuteczność egzekucji, a w konsekwencji również do kolejnego pokrywania zaliczek na koszty.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C8AFFD" w14:textId="77777777" w:rsidR="00F5607D" w:rsidRPr="007434B7" w:rsidRDefault="00F5607D" w:rsidP="00F5607D">
            <w:pPr>
              <w:snapToGrid w:val="0"/>
              <w:rPr>
                <w:b/>
                <w:bCs/>
                <w:sz w:val="22"/>
                <w:szCs w:val="22"/>
              </w:rPr>
            </w:pPr>
            <w:r w:rsidRPr="007434B7">
              <w:rPr>
                <w:b/>
                <w:bCs/>
                <w:sz w:val="22"/>
                <w:szCs w:val="22"/>
              </w:rPr>
              <w:lastRenderedPageBreak/>
              <w:t>Nie uwzględniono</w:t>
            </w:r>
          </w:p>
          <w:p w14:paraId="4D59BF62" w14:textId="19147147" w:rsidR="00B41A88" w:rsidRPr="007434B7" w:rsidRDefault="00F5607D" w:rsidP="007434B7">
            <w:pPr>
              <w:snapToGrid w:val="0"/>
              <w:jc w:val="both"/>
              <w:rPr>
                <w:sz w:val="22"/>
                <w:szCs w:val="22"/>
              </w:rPr>
            </w:pPr>
            <w:r w:rsidRPr="007434B7">
              <w:rPr>
                <w:bCs/>
                <w:sz w:val="22"/>
                <w:szCs w:val="22"/>
              </w:rPr>
              <w:t>Dla roszczeń związanych z prowadzeniem działalności gospodarczej termin przedawnienia wynosi 3 lata (art. 118 k.c.), natomiast takie roszczenie stwierdzone prawomocnym orzeczeniem sądu przedawnia się z upływem 6 lat (art. 125 § 1 k.c.). W ocenie projektodawcy sytuacja, w której roszczenie przedsiębiorcy będącego kredytodawcą, instytucją pożyczkową, przedawnia się z upływem 3 lat, a roszczenia tych podmiotów m.in. przeciwko konsumentowi, stwierdzone już prawomocnym orzeczeniem sądu dopiero po 6 latach, jest niespójna i wymaga interwencji legislacyjnej.</w:t>
            </w:r>
          </w:p>
        </w:tc>
      </w:tr>
      <w:tr w:rsidR="00B41A88" w:rsidRPr="007749DD" w14:paraId="46749C84"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5FF45DAC"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3CBA7071" w14:textId="344E73D2"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59 pkt 1 lit. b</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7787A8A" w14:textId="0559C77F" w:rsidR="00B41A88" w:rsidRPr="00AC64BA" w:rsidRDefault="00B41A88" w:rsidP="00B41A88">
            <w:pPr>
              <w:snapToGrid w:val="0"/>
              <w:jc w:val="both"/>
              <w:rPr>
                <w:sz w:val="22"/>
                <w:szCs w:val="22"/>
              </w:rPr>
            </w:pPr>
            <w:r w:rsidRPr="00AC64BA">
              <w:rPr>
                <w:sz w:val="22"/>
                <w:szCs w:val="22"/>
              </w:rPr>
              <w:t>Narodowy Bank Polski</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4401D1A8" w14:textId="5D794111" w:rsidR="00B41A88" w:rsidRPr="0078357D" w:rsidRDefault="00B41A88" w:rsidP="00B41A88">
            <w:pPr>
              <w:pStyle w:val="Tekstpodstawowywcity"/>
              <w:spacing w:before="120"/>
              <w:ind w:left="0"/>
              <w:jc w:val="both"/>
              <w:rPr>
                <w:sz w:val="22"/>
                <w:szCs w:val="22"/>
              </w:rPr>
            </w:pPr>
            <w:r w:rsidRPr="0078357D">
              <w:rPr>
                <w:b/>
                <w:bCs/>
                <w:sz w:val="22"/>
                <w:szCs w:val="22"/>
                <w:lang w:val="en-US"/>
              </w:rPr>
              <w:t xml:space="preserve">Ad art. 59 pkt 1 lit. b </w:t>
            </w:r>
            <w:proofErr w:type="spellStart"/>
            <w:r w:rsidRPr="0078357D">
              <w:rPr>
                <w:b/>
                <w:bCs/>
                <w:sz w:val="22"/>
                <w:szCs w:val="22"/>
                <w:lang w:val="en-US"/>
              </w:rPr>
              <w:t>projektu</w:t>
            </w:r>
            <w:proofErr w:type="spellEnd"/>
            <w:r w:rsidRPr="0078357D">
              <w:rPr>
                <w:b/>
                <w:bCs/>
                <w:sz w:val="22"/>
                <w:szCs w:val="22"/>
                <w:lang w:val="en-US"/>
              </w:rPr>
              <w:t xml:space="preserve"> </w:t>
            </w:r>
            <w:r w:rsidRPr="0078357D">
              <w:rPr>
                <w:sz w:val="22"/>
                <w:szCs w:val="22"/>
                <w:lang w:val="en-US"/>
              </w:rPr>
              <w:t>- w</w:t>
            </w:r>
            <w:r w:rsidRPr="0078357D">
              <w:rPr>
                <w:sz w:val="22"/>
                <w:szCs w:val="22"/>
              </w:rPr>
              <w:t xml:space="preserve"> art. 59 pkt 1 lit. b projektowanej ustawy wprowadza się zmiany w art. 14 ust. 1 pkt 2 ustawy z dnia 9 kwietnia 2010 r. </w:t>
            </w:r>
            <w:r w:rsidRPr="0078357D">
              <w:rPr>
                <w:i/>
                <w:iCs/>
                <w:sz w:val="22"/>
                <w:szCs w:val="22"/>
              </w:rPr>
              <w:t>o udostępnianiu informacji gospodarczych i wymianie danych gospodarczych</w:t>
            </w:r>
            <w:r w:rsidRPr="0078357D">
              <w:rPr>
                <w:sz w:val="22"/>
                <w:szCs w:val="22"/>
              </w:rPr>
              <w:t xml:space="preserve"> (Dz. U. z 2021 r. poz. 2057 oraz z 2022 r. poz. 1855) poprzez wydłużenie terminu wymagalności zobowiązania dłużnika będącego konsumentem z 30 do 60 dni, po których dane dłużnika mogą zostać przekazane do biura informacji gospodarczej. W uzasadnieniu do projektowanej ustawy wskazuje się, że przedstawiona zmiana będzie rozwiązaniem korzystnym dla konsumentów, albowiem będą oni mieli dłuższy czas na zgromadzenie środków finansowych i ewentualną spłatę wymagalnych zobowiązań. Należy mieć jednak na uwadze, że wiąże się to również z ryzykiem zwiększenia zadłużenia przez konsumentów w różnych instytucjach, co w konsekwencji może doprowadzić do utraty płynności finansowej i nieuregulowania zobowiązań.</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15C352" w14:textId="1C4308FC" w:rsidR="00B41A88" w:rsidRPr="00810390" w:rsidRDefault="00810390" w:rsidP="00B41A88">
            <w:pPr>
              <w:snapToGrid w:val="0"/>
              <w:rPr>
                <w:b/>
                <w:bCs/>
                <w:sz w:val="22"/>
                <w:szCs w:val="22"/>
              </w:rPr>
            </w:pPr>
            <w:r w:rsidRPr="00810390">
              <w:rPr>
                <w:b/>
                <w:bCs/>
                <w:sz w:val="22"/>
                <w:szCs w:val="22"/>
              </w:rPr>
              <w:t>Uwzględniono poprzez zmianę brzmienia przepisu</w:t>
            </w:r>
            <w:r w:rsidR="00B41A88" w:rsidRPr="00810390">
              <w:rPr>
                <w:b/>
                <w:bCs/>
                <w:sz w:val="22"/>
                <w:szCs w:val="22"/>
              </w:rPr>
              <w:t>.</w:t>
            </w:r>
          </w:p>
          <w:p w14:paraId="14D4E57D" w14:textId="1AFD2DC2" w:rsidR="00B41A88" w:rsidRPr="007749DD" w:rsidRDefault="00810390" w:rsidP="00810390">
            <w:pPr>
              <w:jc w:val="both"/>
              <w:rPr>
                <w:sz w:val="22"/>
                <w:szCs w:val="22"/>
              </w:rPr>
            </w:pPr>
            <w:r w:rsidRPr="00810390">
              <w:rPr>
                <w:sz w:val="22"/>
                <w:szCs w:val="22"/>
              </w:rPr>
              <w:t>Projekt zakłada powrót w zakresie zasad ujawniania danych dotyczących wierzytelności do stanu prawnego obowiązującego przed zmianami wprowadzonymi ustawą z dnia 7 kwietnia 2017 r. o zmianie niektórych ustaw w celu ułatwienia dochodzenia wierzytelności. Trudności płatnicze mogą być w aktualnej sytuacji gospodarczej wywołane nie tylko zaniedbaniem dłużnika (co stanowiło powód nowelizacji ustawy w roku 2017), lecz mogą być również wynikiem obiektywnych okoliczności związanych z aktualną sytuacją gospodarczą. Sytuacja materialna Polaków pogorszyła się wskutek epidemii COVID-19 oraz agresji Rosji na Ukrainę. Mogą występować okresowe problemy z zatrudnieniem, co uzasadnia dłuższy okres niezbędny do ujawnienia informacji w biurze informacji gospodarczej.</w:t>
            </w:r>
          </w:p>
        </w:tc>
      </w:tr>
      <w:tr w:rsidR="00B41A88" w:rsidRPr="007749DD" w14:paraId="77BB2247"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6C7F6FE7"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6FF4DF49" w14:textId="249C49C3"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29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026E2CA" w14:textId="7E3520AE" w:rsidR="00B41A88" w:rsidRPr="00AC64BA" w:rsidRDefault="00B41A88" w:rsidP="00B41A88">
            <w:pPr>
              <w:snapToGrid w:val="0"/>
              <w:jc w:val="both"/>
              <w:rPr>
                <w:sz w:val="22"/>
                <w:szCs w:val="22"/>
              </w:rPr>
            </w:pPr>
            <w:r w:rsidRPr="00AC64BA">
              <w:rPr>
                <w:sz w:val="22"/>
                <w:szCs w:val="22"/>
              </w:rPr>
              <w:t>Urząd Ochrony Konkurencji i Konsumentów</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11489D65" w14:textId="2646FFFF" w:rsidR="00B41A88" w:rsidRPr="0078357D" w:rsidRDefault="00B41A88" w:rsidP="00B41A88">
            <w:pPr>
              <w:suppressAutoHyphens w:val="0"/>
              <w:autoSpaceDE w:val="0"/>
              <w:autoSpaceDN w:val="0"/>
              <w:adjustRightInd w:val="0"/>
              <w:jc w:val="both"/>
              <w:rPr>
                <w:sz w:val="22"/>
                <w:szCs w:val="22"/>
                <w:lang w:eastAsia="pl-PL"/>
              </w:rPr>
            </w:pPr>
            <w:r w:rsidRPr="0078357D">
              <w:rPr>
                <w:b/>
                <w:bCs/>
                <w:sz w:val="22"/>
                <w:szCs w:val="22"/>
                <w:lang w:eastAsia="pl-PL"/>
              </w:rPr>
              <w:t>Ad art. 29 ust. 1 projektu</w:t>
            </w:r>
            <w:r w:rsidRPr="0078357D">
              <w:rPr>
                <w:sz w:val="22"/>
                <w:szCs w:val="22"/>
                <w:lang w:eastAsia="pl-PL"/>
              </w:rPr>
              <w:t xml:space="preserve"> - wskazany w art. 29 ust. 1 przedział czasowy, w którym niedopuszczalny jest kontakt telefoniczny z osobą zobowiązaną (tj. w dniach ustawowo wolnych od pracy oraz od godz. 17 do 9), wydaje się dyskusyjny z powodów praktycznych, gdyż osoby pracujące w godz. 9-17 mogą nie mieć możliwości odbywania rozmowy z windykatorem. Zasadne wydaje się wyłączenie godzin nocnych np. 20:00-08:00 (oraz dni wolnych od pracy), tak aby zapewnić</w:t>
            </w:r>
          </w:p>
          <w:p w14:paraId="0ED72F2F" w14:textId="486973E0" w:rsidR="00B41A88" w:rsidRPr="0078357D" w:rsidRDefault="00B41A88" w:rsidP="00B41A88">
            <w:pPr>
              <w:suppressAutoHyphens w:val="0"/>
              <w:autoSpaceDE w:val="0"/>
              <w:autoSpaceDN w:val="0"/>
              <w:adjustRightInd w:val="0"/>
              <w:jc w:val="both"/>
              <w:rPr>
                <w:b/>
                <w:bCs/>
                <w:sz w:val="22"/>
                <w:szCs w:val="22"/>
                <w:lang w:val="en-US"/>
              </w:rPr>
            </w:pPr>
            <w:r w:rsidRPr="0078357D">
              <w:rPr>
                <w:sz w:val="22"/>
                <w:szCs w:val="22"/>
                <w:lang w:eastAsia="pl-PL"/>
              </w:rPr>
              <w:t>osobom zobowiązanym możliwość odebrania połączenia w dogodnych godzinach np. poza godzinami pracy.</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258738A" w14:textId="77777777" w:rsidR="00A56A3E" w:rsidRPr="00A56A3E" w:rsidRDefault="00A56A3E" w:rsidP="00A56A3E">
            <w:pPr>
              <w:snapToGrid w:val="0"/>
              <w:rPr>
                <w:b/>
                <w:bCs/>
                <w:sz w:val="22"/>
                <w:szCs w:val="22"/>
              </w:rPr>
            </w:pPr>
            <w:r w:rsidRPr="00A56A3E">
              <w:rPr>
                <w:b/>
                <w:bCs/>
                <w:sz w:val="22"/>
                <w:szCs w:val="22"/>
              </w:rPr>
              <w:t>C</w:t>
            </w:r>
            <w:r w:rsidR="00B41A88" w:rsidRPr="00A56A3E">
              <w:rPr>
                <w:b/>
                <w:bCs/>
                <w:sz w:val="22"/>
                <w:szCs w:val="22"/>
              </w:rPr>
              <w:t>zęściowo uwzględnion</w:t>
            </w:r>
            <w:r w:rsidRPr="00A56A3E">
              <w:rPr>
                <w:b/>
                <w:bCs/>
                <w:sz w:val="22"/>
                <w:szCs w:val="22"/>
              </w:rPr>
              <w:t>o poprzez z</w:t>
            </w:r>
            <w:r w:rsidR="00B41A88" w:rsidRPr="00A56A3E">
              <w:rPr>
                <w:b/>
                <w:bCs/>
                <w:sz w:val="22"/>
                <w:szCs w:val="22"/>
              </w:rPr>
              <w:t>mi</w:t>
            </w:r>
            <w:r w:rsidRPr="00A56A3E">
              <w:rPr>
                <w:b/>
                <w:bCs/>
                <w:sz w:val="22"/>
                <w:szCs w:val="22"/>
              </w:rPr>
              <w:t>anę przedziału czasowego.</w:t>
            </w:r>
          </w:p>
          <w:p w14:paraId="7039E2B5" w14:textId="0D51AF55" w:rsidR="00B41A88" w:rsidRPr="007749DD" w:rsidRDefault="00B41A88" w:rsidP="00A56A3E">
            <w:pPr>
              <w:snapToGrid w:val="0"/>
              <w:rPr>
                <w:sz w:val="22"/>
                <w:szCs w:val="22"/>
              </w:rPr>
            </w:pPr>
          </w:p>
        </w:tc>
      </w:tr>
      <w:tr w:rsidR="00B41A88" w:rsidRPr="007749DD" w14:paraId="196A9C4B"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00A05D2D"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232344CA" w14:textId="474DE875"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5 ust. 2 lit. d</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B12D121" w14:textId="79973AB9" w:rsidR="00B41A88" w:rsidRPr="00AC64BA" w:rsidRDefault="00B41A88" w:rsidP="00B41A88">
            <w:pPr>
              <w:snapToGrid w:val="0"/>
              <w:jc w:val="both"/>
              <w:rPr>
                <w:sz w:val="22"/>
                <w:szCs w:val="22"/>
              </w:rPr>
            </w:pPr>
            <w:r w:rsidRPr="00AC64BA">
              <w:rPr>
                <w:sz w:val="22"/>
                <w:szCs w:val="22"/>
              </w:rPr>
              <w:t>Urząd Ochrony Konkurencji i Konsumentów</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3BED9281" w14:textId="498A7C2A" w:rsidR="00B41A88" w:rsidRPr="0078357D" w:rsidRDefault="00B41A88" w:rsidP="00B41A88">
            <w:pPr>
              <w:suppressAutoHyphens w:val="0"/>
              <w:autoSpaceDE w:val="0"/>
              <w:autoSpaceDN w:val="0"/>
              <w:adjustRightInd w:val="0"/>
              <w:jc w:val="both"/>
              <w:rPr>
                <w:b/>
                <w:bCs/>
                <w:sz w:val="22"/>
                <w:szCs w:val="22"/>
                <w:lang w:eastAsia="pl-PL"/>
              </w:rPr>
            </w:pPr>
            <w:r w:rsidRPr="0078357D">
              <w:rPr>
                <w:b/>
                <w:bCs/>
                <w:sz w:val="22"/>
                <w:szCs w:val="22"/>
                <w:lang w:eastAsia="pl-PL"/>
              </w:rPr>
              <w:t xml:space="preserve">Ad art. 5 ust. 2 lit. d projektu </w:t>
            </w:r>
            <w:r w:rsidRPr="0078357D">
              <w:rPr>
                <w:sz w:val="22"/>
                <w:szCs w:val="22"/>
                <w:lang w:eastAsia="pl-PL"/>
              </w:rPr>
              <w:t>- w art. 5 ust. 2 lit. d) przewidziano zakaz prowadzenia czynności windykacyjnych wobec osób powyżej 75 toku życia. Wspomniany zakaz obejmuje podejmowanie jakichkolwiek czynności windykacyjnych niezależnie od ich formy i częstotliwości. W ocenie UOKiK konsumenci w zaawansowanym wieku powinni korzystać ze szczególnej ochrony ze względu na wrażliwy charakter tej grupy konsumentów. Niemniej jednak, należy zwrócić uwagę, że w niektórych sytuacjach konsumenci dowiadują się o istnieniu zadłużenia w chwili kontaktu z windykatorem. Z uwagi na powyższe, należy poddać pod rozwagę dopuszczenie prowadzenia czynności windykacyjnych wobec tej grupy osób w zakresie, w jakim osoby te mogłyby otrzymać informacje, które zawiera nota windykacyjna. Otrzymanie informacji o zadłużeniu umożliwia bowiem jego uregulowanie przed podjęciem przez wierzyciela dalszych kroków prawnych.</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D3EFC7" w14:textId="2ABCD273" w:rsidR="00B41A88" w:rsidRPr="00511A9E" w:rsidRDefault="00511A9E" w:rsidP="00511A9E">
            <w:pPr>
              <w:snapToGrid w:val="0"/>
              <w:jc w:val="both"/>
              <w:rPr>
                <w:b/>
                <w:bCs/>
                <w:sz w:val="22"/>
                <w:szCs w:val="22"/>
              </w:rPr>
            </w:pPr>
            <w:r w:rsidRPr="00511A9E">
              <w:rPr>
                <w:b/>
                <w:bCs/>
                <w:sz w:val="22"/>
                <w:szCs w:val="22"/>
              </w:rPr>
              <w:t>Nie uwzględniono.</w:t>
            </w:r>
          </w:p>
          <w:p w14:paraId="241A20D7" w14:textId="28E25940" w:rsidR="00B41A88" w:rsidRPr="007749DD" w:rsidRDefault="00511A9E" w:rsidP="00511A9E">
            <w:pPr>
              <w:jc w:val="both"/>
              <w:rPr>
                <w:sz w:val="22"/>
                <w:szCs w:val="22"/>
              </w:rPr>
            </w:pPr>
            <w:r w:rsidRPr="00511A9E">
              <w:rPr>
                <w:sz w:val="22"/>
                <w:szCs w:val="22"/>
              </w:rPr>
              <w:t>Rozwiązanie przewidujące ochronę dla osób powyżej 75 roku życia zostało przyjęte np. w ustawie z dnia 21 czerwca 2001 r. o ochronie praw lokatorów, mieszkaniowym zasobie gminy i o zmianie Kodeksu cywilnego (</w:t>
            </w:r>
            <w:proofErr w:type="spellStart"/>
            <w:r w:rsidRPr="00511A9E">
              <w:rPr>
                <w:sz w:val="22"/>
                <w:szCs w:val="22"/>
              </w:rPr>
              <w:t>t.j</w:t>
            </w:r>
            <w:proofErr w:type="spellEnd"/>
            <w:r w:rsidRPr="00511A9E">
              <w:rPr>
                <w:sz w:val="22"/>
                <w:szCs w:val="22"/>
              </w:rPr>
              <w:t xml:space="preserve">. Dz. U. z 2022 r. poz. 172 z późn. zm.). Ministerstwo Sprawiedliwości przy tworzeniu projektu ustawy o działalności windykacyjnej i zawodzie windykatora nie odstąpiło od zasady, iż osobom powyżej 75 roku życia należy zapewnić szczególną ochronę. </w:t>
            </w:r>
          </w:p>
        </w:tc>
      </w:tr>
      <w:tr w:rsidR="00B41A88" w:rsidRPr="007749DD" w14:paraId="04E60C83"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73FC7C46"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3838728E" w14:textId="74E587DE"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88F856E" w14:textId="766A87BE" w:rsidR="00B41A88" w:rsidRPr="00AC64BA" w:rsidRDefault="00B41A88" w:rsidP="00B41A88">
            <w:pPr>
              <w:snapToGrid w:val="0"/>
              <w:jc w:val="both"/>
              <w:rPr>
                <w:sz w:val="22"/>
                <w:szCs w:val="22"/>
              </w:rPr>
            </w:pPr>
            <w:r w:rsidRPr="00AC64BA">
              <w:rPr>
                <w:sz w:val="22"/>
                <w:szCs w:val="22"/>
                <w:lang w:eastAsia="pl-PL"/>
              </w:rPr>
              <w:t>Urząd Komisji Nadzoru Finansowego</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6FC8BA27" w14:textId="732F6938" w:rsidR="00B41A88" w:rsidRPr="0078357D" w:rsidRDefault="00B41A88" w:rsidP="00B41A88">
            <w:pPr>
              <w:suppressAutoHyphens w:val="0"/>
              <w:autoSpaceDE w:val="0"/>
              <w:autoSpaceDN w:val="0"/>
              <w:adjustRightInd w:val="0"/>
              <w:jc w:val="both"/>
              <w:rPr>
                <w:sz w:val="22"/>
                <w:szCs w:val="22"/>
                <w:lang w:eastAsia="pl-PL"/>
              </w:rPr>
            </w:pPr>
            <w:r w:rsidRPr="0078357D">
              <w:rPr>
                <w:sz w:val="22"/>
                <w:szCs w:val="22"/>
                <w:lang w:eastAsia="pl-PL"/>
              </w:rPr>
              <w:t>Rozwiązania przewidziane w ramach projektowanej ustawy nie wymagają zmian w ustawie z dnia 21 lipca 2006 r. o nadzorze nad rynkiem finansowym (Dz. U. z 2022 r. poz. 660, z późn. zm.) polegających na rozszerzeniu zakresu nadzoru nad rynkiem finansowym, ani też włączania Komisji Nadzoru Finansowego (KNF) w system nadzoru nad przedsiębiorstwami windykacyjnymi. Należy mieć na względzie, że przedsiębiorstwa windykacyjne nie będą uczestnikami rynku finansowego, a ich działalność nie jest warunkowana jakimikolwiek wymogami dotyczącymi ich gospodarki finansowej. Projektowany wymóg minimalnej wysokości kapitału zakładowego</w:t>
            </w:r>
            <w:r>
              <w:rPr>
                <w:sz w:val="22"/>
                <w:szCs w:val="22"/>
                <w:lang w:eastAsia="pl-PL"/>
              </w:rPr>
              <w:t xml:space="preserve"> </w:t>
            </w:r>
            <w:r w:rsidRPr="0078357D">
              <w:rPr>
                <w:sz w:val="22"/>
                <w:szCs w:val="22"/>
                <w:lang w:eastAsia="pl-PL"/>
              </w:rPr>
              <w:t>byłby weryfikowany w toku procesu licencyjnego i stanowić ma jedną z przesłanek udzielenia zezwolenia. Będzie zatem badany przez organ nadzoru, którym zgodnie z projektem ma być minister właściwy do spraw gospodarki. Działalność przedsiębiorstw windykacyjnych nie powinna być przedmiotem nadzoru ostrożnościowego, a w konsekwencji nie powinna zatem</w:t>
            </w:r>
            <w:r>
              <w:rPr>
                <w:sz w:val="22"/>
                <w:szCs w:val="22"/>
                <w:lang w:eastAsia="pl-PL"/>
              </w:rPr>
              <w:t xml:space="preserve"> </w:t>
            </w:r>
            <w:r w:rsidRPr="0078357D">
              <w:rPr>
                <w:sz w:val="22"/>
                <w:szCs w:val="22"/>
                <w:lang w:eastAsia="pl-PL"/>
              </w:rPr>
              <w:t>angażować KNF, która taką rolę pełni wobec podmiotów prowadzących działalność na rynku finansowym. Podmioty nadzorowane przez KNF - przede wszystkim kredytodawcy – na gruncie projektowanej ustawy będą tzw. wierzycielami pierwotnymi, do nich zaś zgodnie z art. 3 pkt 3 projektowana ustawa nie będzie miała zastosowania.</w:t>
            </w:r>
          </w:p>
          <w:p w14:paraId="12DEB012" w14:textId="60B42630" w:rsidR="00B41A88" w:rsidRPr="0078357D" w:rsidRDefault="00B41A88" w:rsidP="00B41A88">
            <w:pPr>
              <w:suppressAutoHyphens w:val="0"/>
              <w:autoSpaceDE w:val="0"/>
              <w:autoSpaceDN w:val="0"/>
              <w:adjustRightInd w:val="0"/>
              <w:jc w:val="both"/>
              <w:rPr>
                <w:sz w:val="22"/>
                <w:szCs w:val="22"/>
                <w:lang w:eastAsia="pl-PL"/>
              </w:rPr>
            </w:pPr>
            <w:r w:rsidRPr="0078357D">
              <w:rPr>
                <w:sz w:val="22"/>
                <w:szCs w:val="22"/>
                <w:lang w:eastAsia="pl-PL"/>
              </w:rPr>
              <w:lastRenderedPageBreak/>
              <w:t>Bez uszczerbku dla założeń projektowanej ustawy można zatem wyłączyć KNF z jej przepisów, tym bardziej, że rola KNF byłaby co najwyżej uzupełniająca względem zadań i kompetencji ministra właściwego do spraw gospodarki, jako organu nadzoru nad działalnością przedsiębiorstw windykacyjnych. Wyłączenie KNF z obecnie procedowanej regulacji ma także znaczenie ze względu na przyszły status KNF jako organu właściwego w rozumieniu przepisów dyrektywy Parlamentu Europejskiego i Rady (UE) 2021/2167 z dnia 24 listopada 2021 r. w sprawie podmiotów obsługujących kredyty i nabywców kredytów oraz w sprawie zmiany dyrektyw 2008/48/WE i 2014/17/UE (Dz. Urz. UE L 68 z 26.02.2021, str. 14), tzw. „dyrektywy NPL”. Dyrektywa NPL</w:t>
            </w:r>
            <w:r w:rsidR="002331FB">
              <w:rPr>
                <w:sz w:val="22"/>
                <w:szCs w:val="22"/>
                <w:lang w:eastAsia="pl-PL"/>
              </w:rPr>
              <w:t xml:space="preserve"> </w:t>
            </w:r>
            <w:r w:rsidRPr="0078357D">
              <w:rPr>
                <w:sz w:val="22"/>
                <w:szCs w:val="22"/>
                <w:lang w:eastAsia="pl-PL"/>
              </w:rPr>
              <w:t>ma zostać wdrożona przez państwa członkowskie do 29 grudnia 2023 r. Przedłożony projekt ustawy o działalności windykacyjnej i zawodzie windykatora formalnie nie odnosi się do tej dyrektywy, choć przynajmniej częściowo dotyczy jej zakresu. Dyrektywa NPL reguluje w szczególności zasady działalności, prawa i obowiązki podmiotów obsługujących kredyty</w:t>
            </w:r>
            <w:r w:rsidR="002331FB">
              <w:rPr>
                <w:sz w:val="22"/>
                <w:szCs w:val="22"/>
                <w:lang w:eastAsia="pl-PL"/>
              </w:rPr>
              <w:t xml:space="preserve"> </w:t>
            </w:r>
            <w:r w:rsidRPr="0078357D">
              <w:rPr>
                <w:sz w:val="22"/>
                <w:szCs w:val="22"/>
                <w:lang w:eastAsia="pl-PL"/>
              </w:rPr>
              <w:t>działających w imieniu nabywcy kredytu w odniesieniu do praw kredytodawcy wynikających z nieobsługiwanej umowy o kredyt lub samej nieobsługiwanej umowy o kredyt zawartej przez instytucję kredytową, zasady działalności, prawa i obowiązki nabywców kredytu, którzy nabywają prawa kredytodawcy wynikające z nieobsługiwanej umowy o kredyt lub samą nieobsługiwaną umowę o kredyt, a także zasady i tryb sprawowania nadzoru nad podmiotami</w:t>
            </w:r>
          </w:p>
          <w:p w14:paraId="52B40F30" w14:textId="3F4F9E04" w:rsidR="00B41A88" w:rsidRPr="0078357D" w:rsidRDefault="00B41A88" w:rsidP="00B41A88">
            <w:pPr>
              <w:suppressAutoHyphens w:val="0"/>
              <w:autoSpaceDE w:val="0"/>
              <w:autoSpaceDN w:val="0"/>
              <w:adjustRightInd w:val="0"/>
              <w:jc w:val="both"/>
              <w:rPr>
                <w:sz w:val="22"/>
                <w:szCs w:val="22"/>
                <w:lang w:eastAsia="pl-PL"/>
              </w:rPr>
            </w:pPr>
            <w:r w:rsidRPr="0078357D">
              <w:rPr>
                <w:sz w:val="22"/>
                <w:szCs w:val="22"/>
                <w:lang w:eastAsia="pl-PL"/>
              </w:rPr>
              <w:t>obsługującymi kredyty oraz nad dostawcami usług obsługi kredytu. Ten zakres powinien być docelowo wyłączony z ustawy o działalności windykacyjnej i zawodzie windykatora do przepisów odrębnych, choć zapewne część unormowań tej ustawy znajdzie tu zastosowanie – wprost lub odpowiednio. Wdrożenie do prawa krajowego dyrektywy NPL będzie jednak dokonywane w drodze odrębnego procesu legislacyjnego, którego gospodarzem na etapie</w:t>
            </w:r>
          </w:p>
          <w:p w14:paraId="64FEB09D" w14:textId="0D2EE6D5" w:rsidR="00B41A88" w:rsidRPr="0078357D" w:rsidRDefault="00B41A88" w:rsidP="00B41A88">
            <w:pPr>
              <w:suppressAutoHyphens w:val="0"/>
              <w:autoSpaceDE w:val="0"/>
              <w:autoSpaceDN w:val="0"/>
              <w:adjustRightInd w:val="0"/>
              <w:jc w:val="both"/>
              <w:rPr>
                <w:b/>
                <w:bCs/>
                <w:sz w:val="22"/>
                <w:szCs w:val="22"/>
                <w:lang w:eastAsia="pl-PL"/>
              </w:rPr>
            </w:pPr>
            <w:r w:rsidRPr="0078357D">
              <w:rPr>
                <w:sz w:val="22"/>
                <w:szCs w:val="22"/>
                <w:lang w:eastAsia="pl-PL"/>
              </w:rPr>
              <w:t>rządowym będzie minister właściwy do spraw instytucji finansowych i obecnie trudno przesądzić o kształcie tej regulacji. Pewne wstępne ustalenia mogą być poczynione podczas zaplanowanych w najbliższym czasie dodatkowych uzgodnień pomiędzy Ministerstwem Finansów a Ministerstwem Sprawiedliwości, z udziałem przedstawicieli UKNF. Ustalenia te powinny doprowadzić do właściwego określenia zakresu podmiotowego i przedmiotowego projektowanej ustawy o działalności windykacyjnej i zawodzie windykatora, w kontekście planowanego uruchomienia prac legislacyjnych służących wdrożeniu dyrektywy NPL.</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B4B1AD" w14:textId="24FD1166" w:rsidR="00B41A88" w:rsidRPr="002331FB" w:rsidRDefault="002331FB" w:rsidP="002331FB">
            <w:pPr>
              <w:snapToGrid w:val="0"/>
              <w:jc w:val="both"/>
              <w:rPr>
                <w:b/>
                <w:bCs/>
                <w:sz w:val="22"/>
                <w:szCs w:val="22"/>
              </w:rPr>
            </w:pPr>
            <w:r w:rsidRPr="002331FB">
              <w:rPr>
                <w:b/>
                <w:bCs/>
                <w:sz w:val="22"/>
                <w:szCs w:val="22"/>
              </w:rPr>
              <w:lastRenderedPageBreak/>
              <w:t>Nie uwzględniono.</w:t>
            </w:r>
          </w:p>
          <w:p w14:paraId="7CD8E2CE" w14:textId="77777777" w:rsidR="00B41A88" w:rsidRPr="002331FB" w:rsidRDefault="00B41A88" w:rsidP="002331FB">
            <w:pPr>
              <w:snapToGrid w:val="0"/>
              <w:jc w:val="both"/>
              <w:rPr>
                <w:sz w:val="22"/>
                <w:szCs w:val="22"/>
              </w:rPr>
            </w:pPr>
          </w:p>
          <w:p w14:paraId="673861ED" w14:textId="77777777" w:rsidR="00B41A88" w:rsidRPr="00C758B3" w:rsidRDefault="00B41A88" w:rsidP="002331FB">
            <w:pPr>
              <w:snapToGrid w:val="0"/>
              <w:jc w:val="both"/>
              <w:rPr>
                <w:sz w:val="22"/>
                <w:szCs w:val="22"/>
              </w:rPr>
            </w:pPr>
            <w:r w:rsidRPr="00C758B3">
              <w:rPr>
                <w:sz w:val="22"/>
                <w:szCs w:val="22"/>
              </w:rPr>
              <w:t>Niniejsza ustawa nie implementuje Dyrektywy NPL</w:t>
            </w:r>
            <w:r w:rsidR="002331FB" w:rsidRPr="00C758B3">
              <w:rPr>
                <w:sz w:val="22"/>
                <w:szCs w:val="22"/>
              </w:rPr>
              <w:t>.</w:t>
            </w:r>
          </w:p>
          <w:p w14:paraId="7602A9D6" w14:textId="0B92465B" w:rsidR="002331FB" w:rsidRPr="00C758B3" w:rsidRDefault="002331FB" w:rsidP="002331FB">
            <w:pPr>
              <w:autoSpaceDE w:val="0"/>
              <w:autoSpaceDN w:val="0"/>
              <w:jc w:val="both"/>
              <w:rPr>
                <w:sz w:val="22"/>
                <w:szCs w:val="22"/>
              </w:rPr>
            </w:pPr>
            <w:r w:rsidRPr="00C758B3">
              <w:rPr>
                <w:sz w:val="22"/>
                <w:szCs w:val="22"/>
              </w:rPr>
              <w:t>Obecnie w Ministerstwie Finansów trwają prace nad projektem ustawy o podmiotach obsługujących kredyty i nabywcach kredytów, który implementuje do polskiego porządku prawnego dyrektywę Parlamentu Europejskiego i Rady (UE) 2021/2167 w sprawie podmiotów obsługujących kredyty i nabywców kredytów oraz w sprawie zmiany dyrektywy 2008/48/WE i 2014/17/UE (dalej także: „dyrektywa 2021/2167”).</w:t>
            </w:r>
          </w:p>
          <w:p w14:paraId="6BEABF51" w14:textId="1D5B7A74" w:rsidR="002331FB" w:rsidRPr="00C758B3" w:rsidRDefault="002331FB" w:rsidP="002331FB">
            <w:pPr>
              <w:autoSpaceDE w:val="0"/>
              <w:autoSpaceDN w:val="0"/>
              <w:jc w:val="both"/>
              <w:rPr>
                <w:sz w:val="22"/>
                <w:szCs w:val="22"/>
              </w:rPr>
            </w:pPr>
            <w:r w:rsidRPr="00C758B3">
              <w:rPr>
                <w:sz w:val="22"/>
                <w:szCs w:val="22"/>
              </w:rPr>
              <w:t xml:space="preserve">Z informacji przekazanych przez MF wynika, że obecnie projekt oczekuje na wpis do wykazu prac legislacyjnych i </w:t>
            </w:r>
            <w:r w:rsidRPr="00C758B3">
              <w:rPr>
                <w:sz w:val="22"/>
                <w:szCs w:val="22"/>
              </w:rPr>
              <w:lastRenderedPageBreak/>
              <w:t>programowych Rady Ministrów (wniosek został wysłany 21 listopada 2022, a 20 grudnia nastąpiła jego aktualizacja). Planowany termin przesłania projektu do uzgodnień i konsultacji publicznych to I kwartał 2023 r.</w:t>
            </w:r>
          </w:p>
          <w:p w14:paraId="19CA6735" w14:textId="53510BA4" w:rsidR="002331FB" w:rsidRPr="002331FB" w:rsidRDefault="002331FB" w:rsidP="002331FB">
            <w:pPr>
              <w:snapToGrid w:val="0"/>
              <w:jc w:val="both"/>
              <w:rPr>
                <w:sz w:val="22"/>
                <w:szCs w:val="22"/>
              </w:rPr>
            </w:pPr>
          </w:p>
        </w:tc>
      </w:tr>
      <w:tr w:rsidR="00B41A88" w:rsidRPr="007749DD" w14:paraId="61E83402" w14:textId="77777777" w:rsidTr="00873465">
        <w:trPr>
          <w:trHeight w:val="728"/>
          <w:jc w:val="center"/>
        </w:trPr>
        <w:tc>
          <w:tcPr>
            <w:tcW w:w="704" w:type="dxa"/>
            <w:tcBorders>
              <w:top w:val="single" w:sz="4" w:space="0" w:color="000000" w:themeColor="text1"/>
              <w:left w:val="single" w:sz="4" w:space="0" w:color="000000" w:themeColor="text1"/>
              <w:bottom w:val="single" w:sz="4" w:space="0" w:color="000000" w:themeColor="text1"/>
            </w:tcBorders>
          </w:tcPr>
          <w:p w14:paraId="77C9EB68"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1858DA76" w14:textId="3E90F770"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Uwagi ogólne</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3C1A714" w14:textId="242024CB" w:rsidR="00B41A88" w:rsidRPr="00AC64BA" w:rsidRDefault="00B41A88" w:rsidP="00B41A88">
            <w:pPr>
              <w:snapToGrid w:val="0"/>
              <w:jc w:val="both"/>
              <w:rPr>
                <w:sz w:val="22"/>
                <w:szCs w:val="22"/>
                <w:lang w:eastAsia="pl-PL"/>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7C0331F6" w14:textId="77777777" w:rsidR="00B41A88" w:rsidRPr="0078357D" w:rsidRDefault="00B41A88" w:rsidP="00B41A88">
            <w:pPr>
              <w:autoSpaceDE w:val="0"/>
              <w:autoSpaceDN w:val="0"/>
              <w:spacing w:after="200"/>
              <w:contextualSpacing/>
              <w:jc w:val="both"/>
              <w:rPr>
                <w:b/>
                <w:sz w:val="22"/>
                <w:szCs w:val="22"/>
              </w:rPr>
            </w:pPr>
            <w:r w:rsidRPr="0078357D">
              <w:rPr>
                <w:b/>
                <w:sz w:val="22"/>
                <w:szCs w:val="22"/>
              </w:rPr>
              <w:t>Uwagi ogólne do projektu</w:t>
            </w:r>
          </w:p>
          <w:p w14:paraId="21A09644" w14:textId="77777777" w:rsidR="00B41A88" w:rsidRPr="0078357D" w:rsidRDefault="00B41A88" w:rsidP="00B41A88">
            <w:pPr>
              <w:pStyle w:val="Akapitzlist"/>
              <w:numPr>
                <w:ilvl w:val="0"/>
                <w:numId w:val="10"/>
              </w:numPr>
              <w:spacing w:after="200"/>
              <w:contextualSpacing/>
              <w:jc w:val="both"/>
              <w:rPr>
                <w:bCs/>
                <w:sz w:val="22"/>
                <w:szCs w:val="22"/>
              </w:rPr>
            </w:pPr>
            <w:r w:rsidRPr="0078357D">
              <w:rPr>
                <w:bCs/>
                <w:sz w:val="22"/>
                <w:szCs w:val="22"/>
              </w:rPr>
              <w:t xml:space="preserve">Projektodawca ignoruje rzeczywistość gospodarczą i ekonomiczną, a także zmiany jakie zaszły w zakresie zarządzania wierzytelnościami od lat 90-tych. Podkreślenia wymaga, iż rynek usług windykacyjnych w Polsce w minionych dwóch dekadach przeszedł głęboką ewolucję, stając się profesjonalnym oraz koniecznym i nieodłącznym elementem prawidłowo </w:t>
            </w:r>
            <w:r w:rsidRPr="0078357D">
              <w:rPr>
                <w:bCs/>
                <w:sz w:val="22"/>
                <w:szCs w:val="22"/>
              </w:rPr>
              <w:lastRenderedPageBreak/>
              <w:t>funkcjonującej gospodarki rynkowej. Nie oznacza to, że jest wolny od problemów i wad, jednakże podejście Projektodawcy przedstawione w Projekcie nie tylko problemów nie rozwiąże, ale i stworzy nowe, szczegółowo opisane w niniejszym stanowisku. Stąd należy poprzeć jasne i zrozumiałe zasady licencjonowania, przejrzyste zasady nadzoru, w końcu możliwość zgłoszenia sprzeciwu w sposób opisany w niniejszym stanowisku. Poprzeć należy również szersze zastosowanie sprawdzonych już rozwiązań samoregulacyjnych, stosowanych od lat i z powodzeniem przez największe przedsiębiorstwa windykacyjne ujęte przykładowo w ,,Zasadach Dobrych Praktyk przedsiębiorstw zrzeszonych w Związku Przedsiębiorstw Finansowych w Polsce”. Projekt jednakże nie jest w stanie sprostać wskazanym standardom.</w:t>
            </w:r>
          </w:p>
          <w:p w14:paraId="3B4C2B23" w14:textId="50B7BD7F" w:rsidR="00B41A88" w:rsidRPr="0078357D" w:rsidRDefault="00B41A88" w:rsidP="00B41A88">
            <w:pPr>
              <w:pStyle w:val="Akapitzlist"/>
              <w:ind w:left="1080"/>
              <w:jc w:val="both"/>
              <w:rPr>
                <w:bCs/>
                <w:sz w:val="22"/>
                <w:szCs w:val="22"/>
              </w:rPr>
            </w:pPr>
            <w:r w:rsidRPr="0078357D">
              <w:rPr>
                <w:bCs/>
                <w:sz w:val="22"/>
                <w:szCs w:val="22"/>
              </w:rPr>
              <w:t>Podkreślenia wymaga fakt, że jeżeli mamy do czynienia z nieprawidłowościami, to są one najczęściej udziałem podmiotów niezrzeszonych w organizacjach branżowych i organizacjach pracodawców, a w konsekwencji nie stosujących regulacji o charakterze samoograniczającym, jak kodeksy etyczne, czy zasady dobrych praktyk. Projektodawca zupełnie pominął istniejące samoregulacje i mechanizmy w ich zakresie, choć nie pomija ich np.: UOKiK, odwołując się do nich w sprawach dotyczących przedsiębiorstw windykacyjnych.</w:t>
            </w:r>
          </w:p>
          <w:p w14:paraId="001C50E6" w14:textId="633FFE43" w:rsidR="00B41A88" w:rsidRPr="0078357D" w:rsidRDefault="00B41A88" w:rsidP="00B41A88">
            <w:pPr>
              <w:pStyle w:val="Akapitzlist"/>
              <w:ind w:left="1080"/>
              <w:jc w:val="both"/>
              <w:rPr>
                <w:bCs/>
                <w:sz w:val="22"/>
                <w:szCs w:val="22"/>
              </w:rPr>
            </w:pPr>
            <w:r w:rsidRPr="0078357D">
              <w:rPr>
                <w:bCs/>
                <w:sz w:val="22"/>
                <w:szCs w:val="22"/>
              </w:rPr>
              <w:t>Zaznaczyć też należy, iż kreowany w Projekcie obraz sektora wyłącznie nastawionego na zysk nie jest prawdziwy. To oczywiste, że przedsiębiorstwa są nastawione na zarabianie pieniędzy, lecz nie tylko – część z nich prowadzi również działalność edukacyjną, doradczą, w końcu zarabiając, jednocześnie pomagają uniknąć dłużnikom wpędzenia się w większe koszty. Jak wspomniano wyżej, nie jest to sektor wolny od wad  i dlatego należy rozważyć jak usprawnić dotychczasowe regulacje, jednakże nie jest on pozbawiony zasad prawnych i etycznych, nie składa się z patologii oraz nie jest nastawiony wyłącznie na maksymalizację zysku tak jak odmalowane zostało to w Projekcie i jego uzasadnieniu. Kreślenie takich czarno-białych obrazów nie służy ani rozwiązywaniu problemów, ani merytorycznym rozwiązaniom.</w:t>
            </w:r>
          </w:p>
          <w:p w14:paraId="29FCE6A6" w14:textId="1313CF2A" w:rsidR="00B41A88" w:rsidRPr="0078357D" w:rsidRDefault="00B41A88" w:rsidP="00B41A88">
            <w:pPr>
              <w:pStyle w:val="Akapitzlist"/>
              <w:numPr>
                <w:ilvl w:val="0"/>
                <w:numId w:val="10"/>
              </w:numPr>
              <w:spacing w:after="200"/>
              <w:contextualSpacing/>
              <w:jc w:val="both"/>
              <w:rPr>
                <w:bCs/>
                <w:sz w:val="22"/>
                <w:szCs w:val="22"/>
              </w:rPr>
            </w:pPr>
            <w:r w:rsidRPr="0078357D">
              <w:rPr>
                <w:bCs/>
                <w:sz w:val="22"/>
                <w:szCs w:val="22"/>
              </w:rPr>
              <w:t xml:space="preserve">Projekt ignoruje postęp technologiczny w ramach branży przedsiębiorstw zarządzających wierzytelnościami. Pomija narzędzia jakie firmy windykacyjne już dziś oferują osobom zadłużonym celem łatwiejszej i nieuciążliwej spłaty zobowiązań, jak również nie uwzględnia kwestii teleinformatycznych stosowanych obecnie przez firmy do prawidłowego zarządzania wierzytelnościami. Kluczowym wydaje się także brak rozróżnienia na poziomie proponowanej regulacji np.: windykacji telefonicznej od windykacji terenowej. Z perspektywy rozwoju innowacji </w:t>
            </w:r>
            <w:r w:rsidRPr="0078357D">
              <w:rPr>
                <w:bCs/>
                <w:sz w:val="22"/>
                <w:szCs w:val="22"/>
              </w:rPr>
              <w:lastRenderedPageBreak/>
              <w:t xml:space="preserve">finansowych, co zostało wskazane wyżej, Projekt cofa sektor i zdaje się uwzględniać realia z końcówki XX wieku. </w:t>
            </w:r>
          </w:p>
          <w:p w14:paraId="5693DE34" w14:textId="292AEACE" w:rsidR="00B41A88" w:rsidRPr="0078357D" w:rsidRDefault="00B41A88" w:rsidP="00B41A88">
            <w:pPr>
              <w:pStyle w:val="Akapitzlist"/>
              <w:numPr>
                <w:ilvl w:val="0"/>
                <w:numId w:val="10"/>
              </w:numPr>
              <w:spacing w:after="200"/>
              <w:contextualSpacing/>
              <w:jc w:val="both"/>
              <w:rPr>
                <w:bCs/>
                <w:sz w:val="22"/>
                <w:szCs w:val="22"/>
              </w:rPr>
            </w:pPr>
            <w:r w:rsidRPr="0078357D">
              <w:rPr>
                <w:bCs/>
                <w:sz w:val="22"/>
                <w:szCs w:val="22"/>
              </w:rPr>
              <w:t xml:space="preserve">Projekt – chociaż nie przedstawia na to ani stosownych badań ani uzasadnienia – różnicuje sytuację wierzycieli pierwotnych i wtórnych w sposób ciężki do zrozumienia, tak w sensie ekonomicznym, jak i w sensie aksjologii systemu prawnego w Polsce. </w:t>
            </w:r>
          </w:p>
          <w:p w14:paraId="01C04424" w14:textId="77777777" w:rsidR="00B41A88" w:rsidRPr="0078357D" w:rsidRDefault="00B41A88" w:rsidP="00B41A88">
            <w:pPr>
              <w:pStyle w:val="Akapitzlist"/>
              <w:autoSpaceDE w:val="0"/>
              <w:autoSpaceDN w:val="0"/>
              <w:spacing w:after="200"/>
              <w:ind w:left="720"/>
              <w:contextualSpacing/>
              <w:jc w:val="both"/>
              <w:rPr>
                <w:bCs/>
                <w:sz w:val="22"/>
                <w:szCs w:val="22"/>
              </w:rPr>
            </w:pPr>
            <w:r w:rsidRPr="0078357D">
              <w:rPr>
                <w:bCs/>
                <w:sz w:val="22"/>
                <w:szCs w:val="22"/>
              </w:rPr>
              <w:t>Kraje członkowskie, zgodnie z Dyrektywą NPL, powinny wspierać rozwój rynków wtórnych nieobsługiwanych kredytów, poprzez usuwanie przeszkód ku temu, także przez  wprowadzenie odpowiednich środków ochronnych dla przeniesienia nieobsługiwanych kredytów do nabywców kredytów, dokonywanego przez instytucje kredytowe, przy jednoczesnej ochronie praw kredytobiorców. Należy zatem podjąć proporcjonalne działania zmierzające do realizacji tych celów, a przy tym równo traktując tak wierzycieli pierwotnych, jak i wtórnych, oraz chroniących konsumentów. Projekt nie spełnia tych standardów, zatem nie spełnia standardów stawianych przez prawo UE.</w:t>
            </w:r>
          </w:p>
          <w:p w14:paraId="3013B65D" w14:textId="77777777" w:rsidR="00B41A88" w:rsidRPr="0078357D" w:rsidRDefault="00B41A88" w:rsidP="00B41A88">
            <w:pPr>
              <w:pStyle w:val="Akapitzlist"/>
              <w:numPr>
                <w:ilvl w:val="0"/>
                <w:numId w:val="10"/>
              </w:numPr>
              <w:spacing w:after="200"/>
              <w:contextualSpacing/>
              <w:jc w:val="both"/>
              <w:rPr>
                <w:bCs/>
                <w:sz w:val="22"/>
                <w:szCs w:val="22"/>
              </w:rPr>
            </w:pPr>
            <w:r w:rsidRPr="0078357D">
              <w:rPr>
                <w:bCs/>
                <w:sz w:val="22"/>
                <w:szCs w:val="22"/>
              </w:rPr>
              <w:t>Zarówno wierzyciele pierwotni jak i wtórni często decydują się na powierzenie wykonywania działalności w zakresie obsługi wierzytelności innym podmiotom, ponieważ nie mają zdolności do samodzielnej obsługi tych wierzytelności.  W związku z tym, biorąc pod uwagę założenia Projektu, mogą być oni niechętnie nastawieni do zlecania windykacji lub  nabywania kredytów od instytucji kredytowych, jeżeli nie mogą powierzyć wykonywania określonych usług  firmom windykacyjnym, a jednocześnie pozostałe usługi przez nie świadczone będą znacznie droższe niż dotychczas biorąc pod uwagę wymogi np. licencji, czy kosztów związanych z zatrudnieniem. Podobny problem dostrzeżono również w uzasadnieniu Dyrektywy NPL. Projekt zatem ma charakter proinflacyjny z dwóch powodów: po pierwsze zwiększy koszty samych usług windykacyjnych, a po drugie może doprowadzić do zwiększenia kosztów transakcyjnych poprzez radykalne utrudnienia w dochodzeniu wierzytelności;</w:t>
            </w:r>
          </w:p>
          <w:p w14:paraId="125C5F9F" w14:textId="1D17AB4F" w:rsidR="00B41A88" w:rsidRPr="0078357D" w:rsidRDefault="00B41A88" w:rsidP="00B41A88">
            <w:pPr>
              <w:pStyle w:val="Akapitzlist"/>
              <w:numPr>
                <w:ilvl w:val="0"/>
                <w:numId w:val="10"/>
              </w:numPr>
              <w:spacing w:after="200"/>
              <w:contextualSpacing/>
              <w:jc w:val="both"/>
              <w:rPr>
                <w:bCs/>
                <w:sz w:val="22"/>
                <w:szCs w:val="22"/>
              </w:rPr>
            </w:pPr>
            <w:r w:rsidRPr="0078357D">
              <w:rPr>
                <w:bCs/>
                <w:sz w:val="22"/>
                <w:szCs w:val="22"/>
              </w:rPr>
              <w:t xml:space="preserve">Projekt będzie generował zatory płatnicze i obciąży sądy. Drastyczne, abstrahujące od realiów i funkcji polubownego rozwiązania sprawy, ograniczenie procesów dochodzenia wierzytelności i ograniczenie innowacji finansowych będą powodowały przyrost spraw w sądach, co z kolei przełoży się na wspomniane zatory płatnicze i pogorszenie płynności finansowej każdej spółki korzystającej do tej pory z windykacji. Postępowanie sądowe łączy się też z kosztami społecznymi - przyjęte w Projekcie rozwiązania wymuszające wszczynanie postępowań sądowych zwiększą na skalę trudną do oszacowania ilość spraw kierowanych do sądów powszechnych. Postępowanie sądowe powinno być ostatecznością, a państwo powinno zmierzać do kreowania takich rozwiązań, które będą </w:t>
            </w:r>
            <w:r w:rsidRPr="0078357D">
              <w:rPr>
                <w:bCs/>
                <w:sz w:val="22"/>
                <w:szCs w:val="22"/>
              </w:rPr>
              <w:lastRenderedPageBreak/>
              <w:t>zachęcać strony sporu do polubownego jego rozwiązania i unikania kosztownych postępowań sądowo- egzekucyjnych. Podczas gdy w większości krajów europejskich tendencją jest zachęcanie dłużników i wierzycieli do mediacji i do podejmowania wszelkich działań zmierzających do uniknięcia tego ostatecznego kroku jakim jest egzekucja polski ustawodawca obiera zupełnie inny, nieuzasadniony, kierunek, zmierzający do zminimalizowania możliwości prowadzenia rozmów z dłużnikiem, w celu pokazania mu benefitów płynących z polubownego rozwiązania problemu długu i zawarcia ugody;</w:t>
            </w:r>
          </w:p>
          <w:p w14:paraId="5733654F" w14:textId="53CA6C47" w:rsidR="00B41A88" w:rsidRPr="0078357D" w:rsidRDefault="00B41A88" w:rsidP="00B41A88">
            <w:pPr>
              <w:pStyle w:val="Akapitzlist"/>
              <w:numPr>
                <w:ilvl w:val="0"/>
                <w:numId w:val="10"/>
              </w:numPr>
              <w:spacing w:after="200"/>
              <w:contextualSpacing/>
              <w:jc w:val="both"/>
              <w:rPr>
                <w:bCs/>
                <w:sz w:val="22"/>
                <w:szCs w:val="22"/>
              </w:rPr>
            </w:pPr>
            <w:r w:rsidRPr="0078357D">
              <w:rPr>
                <w:bCs/>
                <w:sz w:val="22"/>
                <w:szCs w:val="22"/>
              </w:rPr>
              <w:t>Projekt traktuje ochronę konsumentów jako pretekst, niekiedy tworząc rozwiązania na ich szkodę. Ochrona konsumentów w Projekcie jest opatrznie utożsamiana z min. z zakazem prowadzenia czynności polubownego odzyskiwania długu w przypadku zgłoszeni sprzeciwu od czynności windykacyjnych, a sam Projekt opiera się na błędnym założeniu (i nie potwierdzonym liczbami), że znakomita część wierzytelności dochodzonych przez firmy windykacyjne jest de facto nieistniejąca, lub nie udokumentowana/niejasna. Fakt, iż takie sytuacje się zdarzały i były głośne medialnie nie zmienia, że setki tysięcy spraw w obsłudze polskich przedsiębiorstw windykacyjnych jest obsługiwana należycie i z poszanowaniem praw konsumentów i dłużników (co bardzo łatwo poprzeć danymi liczbowymi).</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C266A2" w14:textId="57B6FA30" w:rsidR="00B41A88" w:rsidRPr="00052F90" w:rsidRDefault="00B41A88" w:rsidP="00EF4C00">
            <w:pPr>
              <w:snapToGrid w:val="0"/>
              <w:jc w:val="both"/>
              <w:rPr>
                <w:b/>
                <w:sz w:val="22"/>
                <w:szCs w:val="22"/>
              </w:rPr>
            </w:pPr>
            <w:r w:rsidRPr="0093391D">
              <w:rPr>
                <w:b/>
                <w:sz w:val="22"/>
                <w:szCs w:val="22"/>
              </w:rPr>
              <w:lastRenderedPageBreak/>
              <w:t>Nie uwzględniono ze względu na ogólny charakter uwag.</w:t>
            </w:r>
          </w:p>
        </w:tc>
      </w:tr>
      <w:tr w:rsidR="00B41A88" w:rsidRPr="007749DD" w14:paraId="1EBB709D"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2DFC9E49"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4F512E1C" w14:textId="2EA49E0D"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862CEF8" w14:textId="28D4F5BC"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26EB51A8" w14:textId="65B4F6EC" w:rsidR="00B41A88" w:rsidRPr="0078357D" w:rsidRDefault="00B41A88" w:rsidP="00B41A88">
            <w:pPr>
              <w:jc w:val="both"/>
              <w:rPr>
                <w:bCs/>
                <w:sz w:val="22"/>
                <w:szCs w:val="22"/>
              </w:rPr>
            </w:pPr>
            <w:r w:rsidRPr="0078357D">
              <w:rPr>
                <w:b/>
                <w:sz w:val="22"/>
                <w:szCs w:val="22"/>
              </w:rPr>
              <w:t>Ad art. 2 projektu</w:t>
            </w:r>
            <w:r w:rsidRPr="0078357D">
              <w:rPr>
                <w:bCs/>
                <w:sz w:val="22"/>
                <w:szCs w:val="22"/>
              </w:rPr>
              <w:t xml:space="preserve"> - definicja ,,czynności windykacyjnej” budzi wątpliwości przede wszystkim w dwóch aspektach. Po pierwsze, działalność pełnomocnika procesowego - radcy prawnego lub adwokata. Przy tej definicji za czynność windykacyjną będzie można uznać również wysłanie przedsądowego wezwania do zapłaty (którego niewysłanie może wiązać się z negatywnymi dla strony skutkami procesowymi, w tym określonymi przepisem art. 101 Kodeksu postępowania cywilnego) oraz prowadzenie negocjacji w toku postępowania sądowego w celu zawarcia ugody. Po drugie, za czynności windykacyjne można uznać czynności ,,techniczne" jak np. wydrukowanie gotowego pisma, zaadresowanie koperty i nadanie jej na poczcie, a także czynności informatyka, który pracując dla firmy windykacyjnej przygotowuje aplikację służącą wysyłaniu korespondencji do osób zobowiązanych. Ponadto pojawiają się wątpliwości czy czynnościami windykacyjnymi są także działania polegające na ustaleniu strategii windykacyjnej, zredagowanie treści pism i komunikatów do dłużników, rozstrzyganie reklamacji wnoszonych przez dłużników, drukowanie i przygotowanie korespondencji itp. Stąd niezbędne jest doprecyzowanie, iż Projekt nie obejmuje czynności, które nie są podejmowane bezpośrednio z osobą zadłużoną.</w:t>
            </w:r>
          </w:p>
          <w:p w14:paraId="2CA86184" w14:textId="77777777" w:rsidR="00B41A88" w:rsidRPr="0078357D" w:rsidRDefault="00B41A88" w:rsidP="00B41A88">
            <w:pPr>
              <w:jc w:val="both"/>
              <w:rPr>
                <w:bCs/>
                <w:sz w:val="22"/>
                <w:szCs w:val="22"/>
              </w:rPr>
            </w:pPr>
          </w:p>
          <w:p w14:paraId="08A0D2C1" w14:textId="217A0C55" w:rsidR="00B41A88" w:rsidRPr="0078357D" w:rsidRDefault="00B41A88" w:rsidP="00B41A88">
            <w:pPr>
              <w:spacing w:after="200"/>
              <w:contextualSpacing/>
              <w:jc w:val="both"/>
              <w:rPr>
                <w:bCs/>
                <w:sz w:val="22"/>
                <w:szCs w:val="22"/>
              </w:rPr>
            </w:pPr>
            <w:r w:rsidRPr="0078357D">
              <w:rPr>
                <w:bCs/>
                <w:sz w:val="22"/>
                <w:szCs w:val="22"/>
              </w:rPr>
              <w:lastRenderedPageBreak/>
              <w:t xml:space="preserve">W zakresie definicji ,,działalności windykacyjnej” rekomendowane jest dodanie </w:t>
            </w:r>
            <w:r w:rsidRPr="0078357D">
              <w:rPr>
                <w:bCs/>
                <w:i/>
                <w:iCs/>
                <w:sz w:val="22"/>
                <w:szCs w:val="22"/>
              </w:rPr>
              <w:t>,,podejmowanych na etapie przed skierowaniem sprawy do sądu"</w:t>
            </w:r>
            <w:r w:rsidRPr="0078357D">
              <w:rPr>
                <w:bCs/>
                <w:sz w:val="22"/>
                <w:szCs w:val="22"/>
              </w:rPr>
              <w:t xml:space="preserve"> po słowach </w:t>
            </w:r>
            <w:r w:rsidRPr="0078357D">
              <w:rPr>
                <w:bCs/>
                <w:i/>
                <w:iCs/>
                <w:sz w:val="22"/>
                <w:szCs w:val="22"/>
              </w:rPr>
              <w:t>,,całokształt czynności faktycznych i prawnych"</w:t>
            </w:r>
            <w:r w:rsidRPr="0078357D">
              <w:rPr>
                <w:bCs/>
                <w:sz w:val="22"/>
                <w:szCs w:val="22"/>
              </w:rPr>
              <w:t>, tak aby doprecyzować w ten sposób, że chodzi o tę część procesu windykacyjnego, która poprzedza skierowanie sprawy do sądu, a tym samym umożliwić kancelariom prawnym świadczenie pomocy prawnej w pełnym zakresie, tj. zgodnie z regulacjami ustawy o radcach prawnych oraz ustawy o adwokaturze, a także Kodeksem Postępowania Cywilnego, a więc także poprzez prowadzenie działań zmierzających do polubownego zakończenia sporu lub uniknięcia kierowania sprawy na etap postępowania sądowego lub egzekucyjnego.</w:t>
            </w:r>
          </w:p>
          <w:p w14:paraId="1CC1F548" w14:textId="77777777" w:rsidR="00B41A88" w:rsidRPr="0078357D" w:rsidRDefault="00B41A88" w:rsidP="00B41A88">
            <w:pPr>
              <w:jc w:val="both"/>
              <w:rPr>
                <w:bCs/>
                <w:sz w:val="22"/>
                <w:szCs w:val="22"/>
              </w:rPr>
            </w:pPr>
          </w:p>
          <w:p w14:paraId="57EB835A" w14:textId="77777777" w:rsidR="00B41A88" w:rsidRPr="0078357D" w:rsidRDefault="00B41A88" w:rsidP="00B41A88">
            <w:pPr>
              <w:jc w:val="both"/>
              <w:rPr>
                <w:bCs/>
                <w:sz w:val="22"/>
                <w:szCs w:val="22"/>
              </w:rPr>
            </w:pPr>
            <w:r w:rsidRPr="0078357D">
              <w:rPr>
                <w:bCs/>
                <w:sz w:val="22"/>
                <w:szCs w:val="22"/>
              </w:rPr>
              <w:t xml:space="preserve">W zakresie ,,noty windykacyjnej” należy wprost wskazać, że pojęcie dokumentu odnosi się do tego użytego w kodeksie cywilnym, tak, aby wykluczyć interpretacje sprowadzającego notę windykacyjną wyłącznie do formy papierowej. </w:t>
            </w:r>
          </w:p>
          <w:p w14:paraId="011AF661" w14:textId="77777777" w:rsidR="00B41A88" w:rsidRPr="0078357D" w:rsidRDefault="00B41A88" w:rsidP="00B41A88">
            <w:pPr>
              <w:jc w:val="both"/>
              <w:rPr>
                <w:bCs/>
                <w:sz w:val="22"/>
                <w:szCs w:val="22"/>
              </w:rPr>
            </w:pPr>
          </w:p>
          <w:p w14:paraId="026AA32F" w14:textId="77777777" w:rsidR="00B41A88" w:rsidRPr="0078357D" w:rsidRDefault="00B41A88" w:rsidP="00B41A88">
            <w:pPr>
              <w:jc w:val="both"/>
              <w:rPr>
                <w:bCs/>
                <w:sz w:val="22"/>
                <w:szCs w:val="22"/>
              </w:rPr>
            </w:pPr>
            <w:r w:rsidRPr="0078357D">
              <w:rPr>
                <w:bCs/>
                <w:sz w:val="22"/>
                <w:szCs w:val="22"/>
              </w:rPr>
              <w:t>W zakresie ,,osoby zobowiązanej” należy zauważyć, iż rolnikiem indywidualnym jest osoba prowadząca działalność na gruntach rolnych do 300 ha; stwierdzić należy, że rolnik prowadzący działalność na 200 czy 300 ha jest de facto przedsiębiorcą; nie ma zatem żadnego uzasadnienia, aby takie osoby korzystały z ochrony właściwej dla konsumentów. Proponowane jest zastąpienie wyrażenia ,,osoba zobowiązana" wyrażeniem ,,osoba zadłużona" lub ,,dłużnik". Pozostawałoby to w korelacji do siatki pojęciowej przyjętej w kodeksie cywilnym, gdzie wyraźnie rozróżnia się zobowiązanie i dług (zobowiązanie przeterminowane).</w:t>
            </w:r>
          </w:p>
          <w:p w14:paraId="5003018A" w14:textId="77777777" w:rsidR="00B41A88" w:rsidRPr="0078357D" w:rsidRDefault="00B41A88" w:rsidP="00B41A88">
            <w:pPr>
              <w:jc w:val="both"/>
              <w:rPr>
                <w:bCs/>
                <w:sz w:val="22"/>
                <w:szCs w:val="22"/>
              </w:rPr>
            </w:pPr>
          </w:p>
          <w:p w14:paraId="01AB0864" w14:textId="6237CEAD" w:rsidR="00B41A88" w:rsidRPr="0078357D" w:rsidRDefault="00B41A88" w:rsidP="00B41A88">
            <w:pPr>
              <w:jc w:val="both"/>
              <w:rPr>
                <w:bCs/>
                <w:sz w:val="22"/>
                <w:szCs w:val="22"/>
              </w:rPr>
            </w:pPr>
            <w:r w:rsidRPr="0078357D">
              <w:rPr>
                <w:bCs/>
                <w:sz w:val="22"/>
                <w:szCs w:val="22"/>
              </w:rPr>
              <w:t xml:space="preserve">Odnośnie art. 2 Projektu zauważyć należy, iż brak jest jednoznacznej definicji windykatora np.: czy jest to osoba, która ma bezpośredni kontakt z osobą zobowiązaną, czy też która wykonuje jakiekolwiek czynności windykacyjne czyli np. składa podpis na wezwaniach do zapłaty bądź rozpatruje reklamację złożoną do wierzyciela? Zaznaczyć także należy wyraźnie, że </w:t>
            </w:r>
            <w:proofErr w:type="spellStart"/>
            <w:r w:rsidRPr="0078357D">
              <w:rPr>
                <w:bCs/>
                <w:sz w:val="22"/>
                <w:szCs w:val="22"/>
              </w:rPr>
              <w:t>widykatorem</w:t>
            </w:r>
            <w:proofErr w:type="spellEnd"/>
            <w:r w:rsidRPr="0078357D">
              <w:rPr>
                <w:bCs/>
                <w:sz w:val="22"/>
                <w:szCs w:val="22"/>
              </w:rPr>
              <w:t xml:space="preserve"> nie są np.: pracownicy czy osoby fizyczne współpracujące w ramach podmiotów wyłączonych na mocy projektowanego art. 3 Projektu.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B594C2" w14:textId="0206317F" w:rsidR="00B41A88" w:rsidRPr="0093391D" w:rsidRDefault="00B41A88" w:rsidP="00EF4C00">
            <w:pPr>
              <w:snapToGrid w:val="0"/>
              <w:jc w:val="both"/>
              <w:rPr>
                <w:b/>
                <w:bCs/>
                <w:sz w:val="22"/>
                <w:szCs w:val="22"/>
              </w:rPr>
            </w:pPr>
            <w:r w:rsidRPr="0093391D">
              <w:rPr>
                <w:b/>
                <w:bCs/>
                <w:sz w:val="22"/>
                <w:szCs w:val="22"/>
              </w:rPr>
              <w:lastRenderedPageBreak/>
              <w:t>Częściowo uwzględniono w ramach uwag uwzględnionych w wyniku uzgodnień.</w:t>
            </w:r>
          </w:p>
          <w:p w14:paraId="05313894" w14:textId="10024C65" w:rsidR="00B41A88" w:rsidRPr="007749DD" w:rsidRDefault="00B41A88" w:rsidP="00EF4C00">
            <w:pPr>
              <w:snapToGrid w:val="0"/>
              <w:jc w:val="both"/>
              <w:rPr>
                <w:sz w:val="22"/>
                <w:szCs w:val="22"/>
              </w:rPr>
            </w:pPr>
          </w:p>
          <w:p w14:paraId="196DA764" w14:textId="46C24DCC" w:rsidR="00B41A88" w:rsidRPr="007749DD" w:rsidRDefault="00B41A88" w:rsidP="00EF4C00">
            <w:pPr>
              <w:snapToGrid w:val="0"/>
              <w:jc w:val="both"/>
              <w:rPr>
                <w:sz w:val="22"/>
                <w:szCs w:val="22"/>
              </w:rPr>
            </w:pPr>
          </w:p>
        </w:tc>
      </w:tr>
      <w:tr w:rsidR="00B41A88" w:rsidRPr="007749DD" w14:paraId="31C65E6E" w14:textId="77777777" w:rsidTr="00873465">
        <w:trPr>
          <w:trHeight w:val="579"/>
          <w:jc w:val="center"/>
        </w:trPr>
        <w:tc>
          <w:tcPr>
            <w:tcW w:w="704" w:type="dxa"/>
            <w:tcBorders>
              <w:top w:val="single" w:sz="4" w:space="0" w:color="000000" w:themeColor="text1"/>
              <w:left w:val="single" w:sz="4" w:space="0" w:color="000000" w:themeColor="text1"/>
              <w:bottom w:val="single" w:sz="4" w:space="0" w:color="000000" w:themeColor="text1"/>
            </w:tcBorders>
          </w:tcPr>
          <w:p w14:paraId="7C63BA7C"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18F6303E" w14:textId="5C6BB643"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7A5847A" w14:textId="470E1292"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48166DA6" w14:textId="2CB361EF" w:rsidR="00B41A88" w:rsidRPr="0078357D" w:rsidRDefault="00B41A88" w:rsidP="00B41A88">
            <w:pPr>
              <w:jc w:val="both"/>
              <w:rPr>
                <w:bCs/>
                <w:sz w:val="22"/>
                <w:szCs w:val="22"/>
              </w:rPr>
            </w:pPr>
            <w:r w:rsidRPr="0078357D">
              <w:rPr>
                <w:b/>
                <w:sz w:val="22"/>
                <w:szCs w:val="22"/>
              </w:rPr>
              <w:t>Ad art. 3 projektu</w:t>
            </w:r>
            <w:r w:rsidRPr="0078357D">
              <w:rPr>
                <w:bCs/>
                <w:sz w:val="22"/>
                <w:szCs w:val="22"/>
              </w:rPr>
              <w:t xml:space="preserve"> - wskazać należy, iż art. 3 Projektu jest dobrym przykładem na to, iż Projekt nie powinien być dalej procedowany, a prace powinny dotyczyć włącznie stosownej regulacji implementującej dyrektywę NPL. Komentowany przepis wprowadza chaos pojęciowy i niejasne przesłanki. Projekt natomiast, już jako całość propozycji regulacji, wprowadza niejasny podział na obszary windykacji w ramach działań wierzycieli pierwotnych, w ramach outsourcingu stosowanego przez wierzycieli pierwotnych i w końcu w ramach windykacji prowadzonej jako obsługa wierzytelności sprzedanych. Nakładając na całość problematykę regulacji unijnej, powstają dodatkowe wątpliwości. W związku z tym należy podkreślić, że poniższe uwagi dotyczą Projektu, </w:t>
            </w:r>
            <w:r w:rsidRPr="0078357D">
              <w:rPr>
                <w:bCs/>
                <w:sz w:val="22"/>
                <w:szCs w:val="22"/>
              </w:rPr>
              <w:lastRenderedPageBreak/>
              <w:t xml:space="preserve">który nie powinien być procedowany i który generuje szereg wątpliwości. Mają one za zadanie wątpliwości te przynajmniej ograniczać w warunkach Projektu. </w:t>
            </w:r>
          </w:p>
          <w:p w14:paraId="1F79644E" w14:textId="77777777" w:rsidR="00B41A88" w:rsidRPr="0078357D" w:rsidRDefault="00B41A88" w:rsidP="00B41A88">
            <w:pPr>
              <w:jc w:val="both"/>
              <w:rPr>
                <w:bCs/>
                <w:sz w:val="22"/>
                <w:szCs w:val="22"/>
              </w:rPr>
            </w:pPr>
          </w:p>
          <w:p w14:paraId="734381C1" w14:textId="6589E163" w:rsidR="00B41A88" w:rsidRPr="0078357D" w:rsidRDefault="00B41A88" w:rsidP="00B41A88">
            <w:pPr>
              <w:spacing w:after="200"/>
              <w:contextualSpacing/>
              <w:jc w:val="both"/>
              <w:rPr>
                <w:bCs/>
                <w:sz w:val="22"/>
                <w:szCs w:val="22"/>
              </w:rPr>
            </w:pPr>
            <w:r w:rsidRPr="0078357D">
              <w:rPr>
                <w:bCs/>
                <w:sz w:val="22"/>
                <w:szCs w:val="22"/>
              </w:rPr>
              <w:t xml:space="preserve">Intencją Projektodawcy – jak wynika z interpretacji przepisu oraz uzasadnienia Projektu – jest prawdopodobnie wyłączenie wszystkich tych podmiotów zajmujących się odzyskiwaniem wierzytelności, które nie są wyspecjalizowanym przedsiębiorstwem windykacyjnym dochodzącym wierzytelności. Wyłączenie wymaga spełnienia obu warunków: bycia wierzycielem pierwotnym oraz nie zajmowania się zawodowo działalnością windykacyjną. Treść tego wyłączenia powoduje natomiast szereg fundamentalnych wątpliwości interpretacyjnych. </w:t>
            </w:r>
          </w:p>
          <w:p w14:paraId="7FD5BA67" w14:textId="77777777" w:rsidR="00B41A88" w:rsidRPr="0078357D" w:rsidRDefault="00B41A88" w:rsidP="00B41A88">
            <w:pPr>
              <w:spacing w:after="160"/>
              <w:jc w:val="both"/>
              <w:rPr>
                <w:bCs/>
                <w:sz w:val="22"/>
                <w:szCs w:val="22"/>
              </w:rPr>
            </w:pPr>
            <w:r w:rsidRPr="0078357D">
              <w:rPr>
                <w:bCs/>
                <w:sz w:val="22"/>
                <w:szCs w:val="22"/>
              </w:rPr>
              <w:t xml:space="preserve">Po pierwsze, wątpliwość powstaje wobec wewnętrznych działów przedsiębiorców zajmujących się zarządzaniem wierzytelnościami (np.: część organizacyjna spółki prawa handlowego zajmująca się windykacją należności tej spółki). Problemem jest rozumienie pojęcia ,,zawodowa działalność windykacyjna”. Spółka jako taka nie podejmuje takiej działalności w sposób większościowy czy główny, jednakże działalność windykacyjna jest elementem jej działalności. Czy ,,zawodowość” wymaga trudnienia się wyłącznie lub w sposób przeważający działalnością windykacyjną? Jakiego stopnia organizacji działalności wymaga ,,zawodowa działalność”? Przesłanka została sformułowana w sposób niejasny i niemożliwy do jednoznacznego rozstrzygnięcia. Jednocześnie kategorią bardzo zbliżoną do wewnętrznych działów windykacyjnych przedsiębiorcy są podmioty zewnętrzne działające w imieniu i na rzecz wierzyciela ale w relacji wyłącznie bezpośredniego podporządkowania instrukcjom wierzyciela. </w:t>
            </w:r>
          </w:p>
          <w:p w14:paraId="455CF3D5" w14:textId="77777777" w:rsidR="00B41A88" w:rsidRPr="0078357D" w:rsidRDefault="00B41A88" w:rsidP="00B41A88">
            <w:pPr>
              <w:spacing w:after="160"/>
              <w:jc w:val="both"/>
              <w:rPr>
                <w:bCs/>
                <w:sz w:val="22"/>
                <w:szCs w:val="22"/>
              </w:rPr>
            </w:pPr>
            <w:r w:rsidRPr="0078357D">
              <w:rPr>
                <w:bCs/>
                <w:sz w:val="22"/>
                <w:szCs w:val="22"/>
              </w:rPr>
              <w:t xml:space="preserve">Po drugie, wątpliwość powstaje wobec osobnych spółek utworzonych w ramach grupy kapitałowej, które zajmują się dochodzeniem wierzytelności na rzecz grupy lub części podmiotów wchodzących w jej skład. Z praktycznego punktu widzenia podmioty takie stanowią odpowiednik wewnętrznych działów przedsiębiorców zajmujących się dochodzeniem należności, jednakże – podobnie jak powyżej – nie wiadomo w jaki sposób rozumieć wobec nich ,,zawodową działalność windykacyjną”. Spółki takie działają w zakresie wchodzących w skład grupy podmiotów, nie wiadomo jednakże czy tym samym realizują ,,bycie wierzycielem pierwotnym” w myśl Projektu. Problematyka ta dotyczy również sytuacji gdy jeden z działów windykacji jednej ze spółek w grupie zajmuje się windykacją wierzytelności innych spółek z grupy. </w:t>
            </w:r>
          </w:p>
          <w:p w14:paraId="1A031A4F" w14:textId="77777777" w:rsidR="00B41A88" w:rsidRPr="0078357D" w:rsidRDefault="00B41A88" w:rsidP="00B41A88">
            <w:pPr>
              <w:spacing w:after="160"/>
              <w:jc w:val="both"/>
              <w:rPr>
                <w:bCs/>
                <w:sz w:val="22"/>
                <w:szCs w:val="22"/>
              </w:rPr>
            </w:pPr>
            <w:r w:rsidRPr="0078357D">
              <w:rPr>
                <w:bCs/>
                <w:sz w:val="22"/>
                <w:szCs w:val="22"/>
              </w:rPr>
              <w:t xml:space="preserve">Po trzecie, adwokaci i radcowie prawni także podejmują liczne działania polegające na próbie polubownego rozstrzygnięcia sporu o zapłatę i dochodzenia spłaty wierzytelności, zarówno przed uzyskaniem tytułu wykonawczego, jak i po. Jednocześnie podmioty te mogą działać jedynie w reżimie określonym przez przepisy sektorowe regulujące działalność profesjonalnych pełnomocników. Wydaje się, że Projekt w ogóle tego problemu nie dostrzega. W tej sytuacji pojawia się pytanie czy i w jakim zakresie </w:t>
            </w:r>
            <w:r w:rsidRPr="0078357D">
              <w:rPr>
                <w:bCs/>
                <w:sz w:val="22"/>
                <w:szCs w:val="22"/>
              </w:rPr>
              <w:lastRenderedPageBreak/>
              <w:t>Projekt ma zastosowanie do tych podmiotów. Przy tej okazji należy podkreślić, ze obydwie profesje są ściśle uregulowane, działają w oparciu o kodeksy etyczne, podlegają zawodowej odpowiedzialności dyscyplinarnej, a tym samym dodatkowe ograniczanie możliwości ich działania jest zupełnie niezasadne.  Powyższe rodzi pytanie o to, czy na gruncie projektu adwokaci i radcowie prawni są podmiotem wyłączonym spod zakresu stosowania Projektu, a jeżeli nie, to czy powinni obligatoryjnie zmienić formę prowadzonej działalności na spółkę akcyjną.</w:t>
            </w:r>
          </w:p>
          <w:p w14:paraId="33BC404A" w14:textId="76B2088D" w:rsidR="00B41A88" w:rsidRPr="0078357D" w:rsidRDefault="00B41A88" w:rsidP="00B41A88">
            <w:pPr>
              <w:spacing w:after="200"/>
              <w:contextualSpacing/>
              <w:jc w:val="both"/>
              <w:rPr>
                <w:bCs/>
                <w:sz w:val="22"/>
                <w:szCs w:val="22"/>
              </w:rPr>
            </w:pPr>
            <w:r w:rsidRPr="0078357D">
              <w:rPr>
                <w:bCs/>
                <w:sz w:val="22"/>
                <w:szCs w:val="22"/>
              </w:rPr>
              <w:t xml:space="preserve">Po czwarte, art. 3 Projektu pomija cały szereg profesji występujących w określonych procesach i powinien zostać doprecyzowany tak, aby w sposób jasny wyłączał możliwość stosowania Projektu do czynności realizowanych w ramach prowadzenia postępowania sądowego, egzekucyjnego, upadłościowego, restrukturyzacyjnego, mediacyjnego. </w:t>
            </w:r>
          </w:p>
          <w:p w14:paraId="21D16412" w14:textId="77777777" w:rsidR="00B41A88" w:rsidRPr="0078357D" w:rsidRDefault="00B41A88" w:rsidP="00B41A88">
            <w:pPr>
              <w:spacing w:after="160"/>
              <w:jc w:val="both"/>
              <w:rPr>
                <w:bCs/>
                <w:sz w:val="22"/>
                <w:szCs w:val="22"/>
              </w:rPr>
            </w:pPr>
          </w:p>
          <w:p w14:paraId="57FB1ED0" w14:textId="26FF0E39" w:rsidR="00B41A88" w:rsidRPr="0078357D" w:rsidRDefault="00B41A88" w:rsidP="00B41A88">
            <w:pPr>
              <w:spacing w:after="160"/>
              <w:jc w:val="both"/>
              <w:rPr>
                <w:bCs/>
                <w:sz w:val="22"/>
                <w:szCs w:val="22"/>
              </w:rPr>
            </w:pPr>
            <w:r w:rsidRPr="0078357D">
              <w:rPr>
                <w:bCs/>
                <w:sz w:val="22"/>
                <w:szCs w:val="22"/>
              </w:rPr>
              <w:t xml:space="preserve">Po piąte, Projekt nie wyjaśnia jaki status mają </w:t>
            </w:r>
            <w:bookmarkStart w:id="0" w:name="_Hlk116756058"/>
            <w:r w:rsidRPr="0078357D">
              <w:rPr>
                <w:bCs/>
                <w:sz w:val="22"/>
                <w:szCs w:val="22"/>
              </w:rPr>
              <w:t xml:space="preserve">podmioty posiadające zezwolenie na zarządzanie </w:t>
            </w:r>
            <w:proofErr w:type="spellStart"/>
            <w:r w:rsidRPr="0078357D">
              <w:rPr>
                <w:bCs/>
                <w:sz w:val="22"/>
                <w:szCs w:val="22"/>
              </w:rPr>
              <w:t>sekurytyzowanymi</w:t>
            </w:r>
            <w:proofErr w:type="spellEnd"/>
            <w:r w:rsidRPr="0078357D">
              <w:rPr>
                <w:bCs/>
                <w:sz w:val="22"/>
                <w:szCs w:val="22"/>
              </w:rPr>
              <w:t xml:space="preserve"> wierzytelnościami</w:t>
            </w:r>
            <w:bookmarkEnd w:id="0"/>
            <w:r w:rsidRPr="0078357D">
              <w:rPr>
                <w:bCs/>
                <w:sz w:val="22"/>
                <w:szCs w:val="22"/>
              </w:rPr>
              <w:t xml:space="preserve">. Podmiotami prowadzącymi czynności windykacyjne są także podmioty, które na podstawie art. 192 ust. 2 ustawy o funduszach inwestycyjnych posiadają, wydane przez Komisję Nadzoru Finansowego, zezwolenie na zarządzanie </w:t>
            </w:r>
            <w:proofErr w:type="spellStart"/>
            <w:r w:rsidRPr="0078357D">
              <w:rPr>
                <w:bCs/>
                <w:sz w:val="22"/>
                <w:szCs w:val="22"/>
              </w:rPr>
              <w:t>sekurytyzowanymi</w:t>
            </w:r>
            <w:proofErr w:type="spellEnd"/>
            <w:r w:rsidRPr="0078357D">
              <w:rPr>
                <w:bCs/>
                <w:sz w:val="22"/>
                <w:szCs w:val="22"/>
              </w:rPr>
              <w:t xml:space="preserve"> wierzytelnościami.</w:t>
            </w:r>
          </w:p>
          <w:p w14:paraId="57D9F9C9" w14:textId="77777777" w:rsidR="00B41A88" w:rsidRPr="0078357D" w:rsidRDefault="00B41A88" w:rsidP="00B41A88">
            <w:pPr>
              <w:spacing w:after="160"/>
              <w:jc w:val="both"/>
              <w:rPr>
                <w:bCs/>
                <w:sz w:val="22"/>
                <w:szCs w:val="22"/>
              </w:rPr>
            </w:pPr>
            <w:r w:rsidRPr="0078357D">
              <w:rPr>
                <w:bCs/>
                <w:sz w:val="22"/>
                <w:szCs w:val="22"/>
              </w:rPr>
              <w:t xml:space="preserve">Po szóste, Projekt pomija zupełnie problematykę postępowań spadkowych i zmiany statusu wierzyciela. </w:t>
            </w:r>
          </w:p>
          <w:p w14:paraId="60508742" w14:textId="77777777" w:rsidR="00B41A88" w:rsidRPr="0078357D" w:rsidRDefault="00B41A88" w:rsidP="00B41A88">
            <w:pPr>
              <w:spacing w:after="160"/>
              <w:jc w:val="both"/>
              <w:rPr>
                <w:bCs/>
                <w:sz w:val="22"/>
                <w:szCs w:val="22"/>
              </w:rPr>
            </w:pPr>
            <w:r w:rsidRPr="0078357D">
              <w:rPr>
                <w:bCs/>
                <w:sz w:val="22"/>
                <w:szCs w:val="22"/>
              </w:rPr>
              <w:t xml:space="preserve">Po siódme, Projekt pomija tematykę banków mimo ich specyfiki zarządzania wierzytelnościami  oraz specjalnym statusem podmiotów silnie regulowanych. </w:t>
            </w:r>
          </w:p>
          <w:p w14:paraId="0C61D6C1" w14:textId="77777777" w:rsidR="00B41A88" w:rsidRPr="0078357D" w:rsidRDefault="00B41A88" w:rsidP="00B41A88">
            <w:pPr>
              <w:spacing w:after="160"/>
              <w:jc w:val="both"/>
              <w:rPr>
                <w:bCs/>
                <w:sz w:val="22"/>
                <w:szCs w:val="22"/>
              </w:rPr>
            </w:pPr>
            <w:r w:rsidRPr="0078357D">
              <w:rPr>
                <w:bCs/>
                <w:sz w:val="22"/>
                <w:szCs w:val="22"/>
              </w:rPr>
              <w:t xml:space="preserve">Po ósme, spójnik ,,i" (o ile są wierzycielem pierwotnym i nie zajmują się zawodowo działalnością windykacyjna) jest błędnie użyty (jeśli w ogóle Przepis ma mieć taki kształt powinno się go zastąpić ,,lub”). Przy takim zapisie możemy mieć sytuację, w której osoba fizyczna, niebędąca windykatorem w danej sprawie nabędzie wierzytelność (np. w wyniku spadku, następstwo prawne) i stosować się będzie do niej przepisy Projektu. To sparaliżuje możliwość dochodzenia przez osoby fizyczne swoich wierzytelności (na drodze polubownej). Dodatkowo należy wskazać na sytuacje, gdy przedsiębiorstwo zajmujące się windykacją posiada swoich dłużników (np. z uwagi na brak zapłaty za dostarczone usługi) zapis wskazuje, że również wobec swoich dłużników (a nie zakupionych czy obsługiwanych wierzytelności) przedsiębiorstwo będzie musiało spełniać wszystkie wymogi wynikające z Projektu. </w:t>
            </w:r>
          </w:p>
          <w:p w14:paraId="2078738C" w14:textId="77777777" w:rsidR="00B41A88" w:rsidRPr="0078357D" w:rsidRDefault="00B41A88" w:rsidP="00B41A88">
            <w:pPr>
              <w:spacing w:after="160"/>
              <w:jc w:val="both"/>
              <w:rPr>
                <w:bCs/>
                <w:sz w:val="22"/>
                <w:szCs w:val="22"/>
              </w:rPr>
            </w:pPr>
            <w:r w:rsidRPr="0078357D">
              <w:rPr>
                <w:bCs/>
                <w:sz w:val="22"/>
                <w:szCs w:val="22"/>
              </w:rPr>
              <w:t xml:space="preserve">Powyższe powoduje, iż należy przeformułować w stopniu znacznym przesłanki art. 3 Projektu. W sposób jednoznaczny ujęta powinna zostać sytuacja wobec wewnętrznych działów przedsiębiorców zajmujących się zarządzaniem wierzytelnościami oraz osobnych spółek utworzonych w ramach grupy kapitałowej. Należy zrezygnować z </w:t>
            </w:r>
            <w:r w:rsidRPr="0078357D">
              <w:rPr>
                <w:bCs/>
                <w:sz w:val="22"/>
                <w:szCs w:val="22"/>
              </w:rPr>
              <w:lastRenderedPageBreak/>
              <w:t xml:space="preserve">przesłanki ,,zawodowej działalności windykacyjnej”. Ze względu na podleganie daleko idącej regulacji i samoregulacji wyłączeni powinni zostać adwokaci i radcowie prawni. Banki powinny być wyłączone ze stosowania Projektu – banki obecnie działają już w środowisku silnie regulowanym, a dodatkowo są nadzorowane przez KNF (uniknięcie dublowania się rozwiązań nadzorczych). Ponadto wskazuje na to ich specyfika np.: zajmują się dochodzeniem nabytych wierzytelności jako zabezpieczenie, w tym faktoringowych, wierzytelności ARiMR oraz BGK-u oraz spółek z grupy kapitałowej. Obok komorników należy również wyłączyć – z podobnych powodów – podmioty dokonujące czynności realizowanych w ramach prowadzenia postępowania sądowego, egzekucyjnego, upadłościowego, restrukturyzacyjnego, mediacyjnego. Rozwiązana powinna zostać także kwestia następstwa prawnego. Wyłączone z Projektu powinny być również czynności wykonywane w ramach zarządzania </w:t>
            </w:r>
            <w:proofErr w:type="spellStart"/>
            <w:r w:rsidRPr="0078357D">
              <w:rPr>
                <w:bCs/>
                <w:sz w:val="22"/>
                <w:szCs w:val="22"/>
              </w:rPr>
              <w:t>sekurytyzowanymi</w:t>
            </w:r>
            <w:proofErr w:type="spellEnd"/>
            <w:r w:rsidRPr="0078357D">
              <w:rPr>
                <w:bCs/>
                <w:sz w:val="22"/>
                <w:szCs w:val="22"/>
              </w:rPr>
              <w:t xml:space="preserve"> wierzytelnościami w związku ze specyfiką tej instytucji obejmującej kompleksowe zarządzanie aktywami funduszy (nie tylko windykację) oraz odrębną regulacją zawartą i odrębnym trybem nadzoru ze strony KNF.</w:t>
            </w:r>
          </w:p>
          <w:p w14:paraId="22217F66" w14:textId="77777777" w:rsidR="00B41A88" w:rsidRPr="00B75954" w:rsidRDefault="00B41A88" w:rsidP="00B41A88">
            <w:pPr>
              <w:suppressAutoHyphens w:val="0"/>
              <w:spacing w:after="160"/>
              <w:jc w:val="both"/>
              <w:rPr>
                <w:rFonts w:eastAsia="Times New Roman"/>
                <w:bCs/>
                <w:sz w:val="22"/>
                <w:szCs w:val="22"/>
                <w:lang w:eastAsia="pl-PL"/>
              </w:rPr>
            </w:pPr>
            <w:r w:rsidRPr="00B75954">
              <w:rPr>
                <w:rFonts w:eastAsia="Times New Roman"/>
                <w:bCs/>
                <w:sz w:val="22"/>
                <w:szCs w:val="22"/>
                <w:lang w:eastAsia="pl-PL"/>
              </w:rPr>
              <w:t xml:space="preserve">Proponowana zmiana art. 3 Projektu: </w:t>
            </w:r>
          </w:p>
          <w:p w14:paraId="7A2132EF" w14:textId="77777777" w:rsidR="00B41A88" w:rsidRPr="00B75954" w:rsidRDefault="00B41A88" w:rsidP="00B41A88">
            <w:pPr>
              <w:autoSpaceDE w:val="0"/>
              <w:autoSpaceDN w:val="0"/>
              <w:adjustRightInd w:val="0"/>
              <w:spacing w:before="120"/>
              <w:ind w:firstLine="426"/>
              <w:jc w:val="both"/>
              <w:rPr>
                <w:rFonts w:eastAsia="Times New Roman"/>
                <w:bCs/>
                <w:i/>
                <w:iCs/>
                <w:sz w:val="22"/>
                <w:szCs w:val="22"/>
                <w:lang w:eastAsia="pl-PL"/>
              </w:rPr>
            </w:pPr>
            <w:r w:rsidRPr="00B75954">
              <w:rPr>
                <w:rFonts w:eastAsia="Times New Roman"/>
                <w:bCs/>
                <w:i/>
                <w:iCs/>
                <w:sz w:val="22"/>
                <w:szCs w:val="22"/>
                <w:lang w:eastAsia="pl-PL"/>
              </w:rPr>
              <w:t>Art. 3. Przepisów niniejszej ustawy nie stosuje się do czynności wykonywanych przez:</w:t>
            </w:r>
          </w:p>
          <w:p w14:paraId="66ABF495" w14:textId="77777777" w:rsidR="00B41A88" w:rsidRPr="00B75954" w:rsidRDefault="00B41A88" w:rsidP="00B41A88">
            <w:pPr>
              <w:numPr>
                <w:ilvl w:val="0"/>
                <w:numId w:val="5"/>
              </w:numPr>
              <w:suppressAutoHyphens w:val="0"/>
              <w:jc w:val="both"/>
              <w:rPr>
                <w:rFonts w:eastAsia="Times New Roman"/>
                <w:bCs/>
                <w:i/>
                <w:iCs/>
                <w:sz w:val="22"/>
                <w:szCs w:val="22"/>
                <w:lang w:eastAsia="pl-PL"/>
              </w:rPr>
            </w:pPr>
            <w:r w:rsidRPr="00B75954">
              <w:rPr>
                <w:rFonts w:eastAsia="Times New Roman"/>
                <w:bCs/>
                <w:i/>
                <w:iCs/>
                <w:sz w:val="22"/>
                <w:szCs w:val="22"/>
                <w:lang w:eastAsia="pl-PL"/>
              </w:rPr>
              <w:t>komorników sądowych, tymczasowych nadzorców sądowych, syndyków mediatorów doradców restrukturyzacyjnych;</w:t>
            </w:r>
          </w:p>
          <w:p w14:paraId="6DD2D869" w14:textId="77777777" w:rsidR="00B41A88" w:rsidRPr="00B75954" w:rsidRDefault="00B41A88" w:rsidP="00B41A88">
            <w:pPr>
              <w:numPr>
                <w:ilvl w:val="0"/>
                <w:numId w:val="5"/>
              </w:numPr>
              <w:suppressAutoHyphens w:val="0"/>
              <w:jc w:val="both"/>
              <w:rPr>
                <w:rFonts w:eastAsia="Times New Roman"/>
                <w:bCs/>
                <w:i/>
                <w:iCs/>
                <w:sz w:val="22"/>
                <w:szCs w:val="22"/>
                <w:lang w:eastAsia="pl-PL"/>
              </w:rPr>
            </w:pPr>
            <w:r w:rsidRPr="00B75954">
              <w:rPr>
                <w:rFonts w:eastAsia="Times New Roman"/>
                <w:bCs/>
                <w:i/>
                <w:iCs/>
                <w:sz w:val="22"/>
                <w:szCs w:val="22"/>
                <w:lang w:eastAsia="pl-PL"/>
              </w:rPr>
              <w:t>adwokatów i radców prawnych, jak również podmiotów z udziałem adwokatów wymienionych w art. 4a ust. 1 ustawy z dnia 26 maja 1982 r. – Prawo o adwokaturze oraz podmiotów z udziałem radców prawnych wymienionych w art. 8 ust. 1 ustawy z dnia 6 lipca 1982 r. o radcach prawnych;</w:t>
            </w:r>
          </w:p>
          <w:p w14:paraId="4CC51DA5" w14:textId="77777777" w:rsidR="00B41A88" w:rsidRPr="00B75954" w:rsidRDefault="00B41A88" w:rsidP="00B41A88">
            <w:pPr>
              <w:numPr>
                <w:ilvl w:val="0"/>
                <w:numId w:val="5"/>
              </w:numPr>
              <w:suppressAutoHyphens w:val="0"/>
              <w:jc w:val="both"/>
              <w:rPr>
                <w:rFonts w:eastAsia="Times New Roman"/>
                <w:bCs/>
                <w:i/>
                <w:iCs/>
                <w:sz w:val="22"/>
                <w:szCs w:val="22"/>
                <w:lang w:eastAsia="pl-PL"/>
              </w:rPr>
            </w:pPr>
            <w:r w:rsidRPr="00B75954">
              <w:rPr>
                <w:rFonts w:eastAsia="Times New Roman"/>
                <w:bCs/>
                <w:i/>
                <w:iCs/>
                <w:sz w:val="22"/>
                <w:szCs w:val="22"/>
                <w:lang w:eastAsia="pl-PL"/>
              </w:rPr>
              <w:t>organy administracji publicznej w postępowaniu egzekucyjnym w administracji;</w:t>
            </w:r>
          </w:p>
          <w:p w14:paraId="410F1331" w14:textId="77777777" w:rsidR="00B41A88" w:rsidRPr="00B75954" w:rsidRDefault="00B41A88" w:rsidP="00B41A88">
            <w:pPr>
              <w:numPr>
                <w:ilvl w:val="0"/>
                <w:numId w:val="5"/>
              </w:numPr>
              <w:suppressAutoHyphens w:val="0"/>
              <w:jc w:val="both"/>
              <w:rPr>
                <w:rFonts w:eastAsia="Times New Roman"/>
                <w:bCs/>
                <w:i/>
                <w:iCs/>
                <w:sz w:val="22"/>
                <w:szCs w:val="22"/>
                <w:lang w:eastAsia="pl-PL"/>
              </w:rPr>
            </w:pPr>
            <w:r w:rsidRPr="00B75954">
              <w:rPr>
                <w:rFonts w:eastAsia="Times New Roman"/>
                <w:bCs/>
                <w:i/>
                <w:iCs/>
                <w:sz w:val="22"/>
                <w:szCs w:val="22"/>
                <w:lang w:eastAsia="pl-PL"/>
              </w:rPr>
              <w:t xml:space="preserve">podmioty posiadające zezwolenie na zarządzanie </w:t>
            </w:r>
            <w:proofErr w:type="spellStart"/>
            <w:r w:rsidRPr="00B75954">
              <w:rPr>
                <w:rFonts w:eastAsia="Times New Roman"/>
                <w:bCs/>
                <w:i/>
                <w:iCs/>
                <w:sz w:val="22"/>
                <w:szCs w:val="22"/>
                <w:lang w:eastAsia="pl-PL"/>
              </w:rPr>
              <w:t>sekurytyzowanymi</w:t>
            </w:r>
            <w:proofErr w:type="spellEnd"/>
            <w:r w:rsidRPr="00B75954">
              <w:rPr>
                <w:rFonts w:eastAsia="Times New Roman"/>
                <w:bCs/>
                <w:i/>
                <w:iCs/>
                <w:sz w:val="22"/>
                <w:szCs w:val="22"/>
                <w:lang w:eastAsia="pl-PL"/>
              </w:rPr>
              <w:t xml:space="preserve"> wierzytelnościami</w:t>
            </w:r>
          </w:p>
          <w:p w14:paraId="7A6006E1" w14:textId="77777777" w:rsidR="00B41A88" w:rsidRPr="00B75954" w:rsidRDefault="00B41A88" w:rsidP="00B41A88">
            <w:pPr>
              <w:numPr>
                <w:ilvl w:val="0"/>
                <w:numId w:val="5"/>
              </w:numPr>
              <w:suppressAutoHyphens w:val="0"/>
              <w:jc w:val="both"/>
              <w:rPr>
                <w:rFonts w:eastAsia="Times New Roman"/>
                <w:bCs/>
                <w:i/>
                <w:iCs/>
                <w:sz w:val="22"/>
                <w:szCs w:val="22"/>
                <w:lang w:eastAsia="pl-PL"/>
              </w:rPr>
            </w:pPr>
            <w:r w:rsidRPr="00B75954">
              <w:rPr>
                <w:rFonts w:eastAsia="Times New Roman"/>
                <w:bCs/>
                <w:i/>
                <w:iCs/>
                <w:sz w:val="22"/>
                <w:szCs w:val="22"/>
                <w:lang w:eastAsia="pl-PL"/>
              </w:rPr>
              <w:t>banki;</w:t>
            </w:r>
          </w:p>
          <w:p w14:paraId="50F4DBE6" w14:textId="77777777" w:rsidR="00B41A88" w:rsidRPr="00B75954" w:rsidRDefault="00B41A88" w:rsidP="00B41A88">
            <w:pPr>
              <w:numPr>
                <w:ilvl w:val="0"/>
                <w:numId w:val="5"/>
              </w:numPr>
              <w:suppressAutoHyphens w:val="0"/>
              <w:ind w:left="867"/>
              <w:jc w:val="both"/>
              <w:rPr>
                <w:rFonts w:eastAsia="Times New Roman"/>
                <w:bCs/>
                <w:i/>
                <w:iCs/>
                <w:sz w:val="22"/>
                <w:szCs w:val="22"/>
                <w:lang w:eastAsia="pl-PL"/>
              </w:rPr>
            </w:pPr>
            <w:r w:rsidRPr="00B75954">
              <w:rPr>
                <w:rFonts w:eastAsia="Times New Roman"/>
                <w:bCs/>
                <w:i/>
                <w:iCs/>
                <w:sz w:val="22"/>
                <w:szCs w:val="22"/>
                <w:lang w:eastAsia="pl-PL"/>
              </w:rPr>
              <w:t>osoby fizyczne, osoby prawne, jednostki organizacyjne nieposiadające osobowości prawnej:</w:t>
            </w:r>
          </w:p>
          <w:p w14:paraId="5CA4F1A0" w14:textId="77777777" w:rsidR="00B41A88" w:rsidRPr="00B75954" w:rsidRDefault="00B41A88" w:rsidP="00B41A88">
            <w:pPr>
              <w:numPr>
                <w:ilvl w:val="0"/>
                <w:numId w:val="6"/>
              </w:numPr>
              <w:suppressAutoHyphens w:val="0"/>
              <w:jc w:val="both"/>
              <w:rPr>
                <w:rFonts w:eastAsia="Times New Roman"/>
                <w:bCs/>
                <w:i/>
                <w:iCs/>
                <w:sz w:val="22"/>
                <w:szCs w:val="22"/>
                <w:lang w:eastAsia="pl-PL"/>
              </w:rPr>
            </w:pPr>
            <w:r w:rsidRPr="00B75954">
              <w:rPr>
                <w:rFonts w:eastAsia="Times New Roman"/>
                <w:bCs/>
                <w:i/>
                <w:iCs/>
                <w:sz w:val="22"/>
                <w:szCs w:val="22"/>
                <w:lang w:eastAsia="pl-PL"/>
              </w:rPr>
              <w:t>jeżeli są wierzycielami pierwotnymi lub następcami prawnymi wierzyciela pierwotnego;</w:t>
            </w:r>
          </w:p>
          <w:p w14:paraId="3ED6769E" w14:textId="77777777" w:rsidR="00B41A88" w:rsidRPr="00B75954" w:rsidRDefault="00B41A88" w:rsidP="00B41A88">
            <w:pPr>
              <w:numPr>
                <w:ilvl w:val="0"/>
                <w:numId w:val="6"/>
              </w:numPr>
              <w:suppressAutoHyphens w:val="0"/>
              <w:jc w:val="both"/>
              <w:rPr>
                <w:rFonts w:eastAsia="Times New Roman"/>
                <w:bCs/>
                <w:i/>
                <w:iCs/>
                <w:sz w:val="22"/>
                <w:szCs w:val="22"/>
                <w:lang w:eastAsia="pl-PL"/>
              </w:rPr>
            </w:pPr>
            <w:r w:rsidRPr="00B75954">
              <w:rPr>
                <w:rFonts w:eastAsia="Times New Roman"/>
                <w:bCs/>
                <w:i/>
                <w:iCs/>
                <w:sz w:val="22"/>
                <w:szCs w:val="22"/>
                <w:lang w:eastAsia="pl-PL"/>
              </w:rPr>
              <w:t xml:space="preserve">jeżeli działają w imieniu i na rzecz wierzyciela w relacji wyłącznie bezpośredniego podporządkowania instrukcjom wierzyciela; </w:t>
            </w:r>
          </w:p>
          <w:p w14:paraId="44917007" w14:textId="77777777" w:rsidR="00B41A88" w:rsidRPr="00B75954" w:rsidRDefault="00B41A88" w:rsidP="00B41A88">
            <w:pPr>
              <w:numPr>
                <w:ilvl w:val="0"/>
                <w:numId w:val="6"/>
              </w:numPr>
              <w:suppressAutoHyphens w:val="0"/>
              <w:jc w:val="both"/>
              <w:rPr>
                <w:rFonts w:eastAsia="Times New Roman"/>
                <w:bCs/>
                <w:i/>
                <w:iCs/>
                <w:sz w:val="22"/>
                <w:szCs w:val="22"/>
                <w:lang w:eastAsia="pl-PL"/>
              </w:rPr>
            </w:pPr>
            <w:r w:rsidRPr="00B75954">
              <w:rPr>
                <w:rFonts w:eastAsia="Times New Roman"/>
                <w:bCs/>
                <w:i/>
                <w:iCs/>
                <w:sz w:val="22"/>
                <w:szCs w:val="22"/>
                <w:lang w:eastAsia="pl-PL"/>
              </w:rPr>
              <w:t>jeżeli prowadzą działalność windykacyjną na rzecz podmiotów z grupy kapitałowej;</w:t>
            </w:r>
          </w:p>
          <w:p w14:paraId="63D820DF" w14:textId="73BAA41F" w:rsidR="00B41A88" w:rsidRPr="001E0853" w:rsidRDefault="00B41A88" w:rsidP="00B41A88">
            <w:pPr>
              <w:numPr>
                <w:ilvl w:val="0"/>
                <w:numId w:val="6"/>
              </w:numPr>
              <w:suppressAutoHyphens w:val="0"/>
              <w:jc w:val="both"/>
              <w:rPr>
                <w:rFonts w:eastAsia="Times New Roman"/>
                <w:bCs/>
                <w:i/>
                <w:iCs/>
                <w:sz w:val="22"/>
                <w:szCs w:val="22"/>
                <w:lang w:eastAsia="pl-PL"/>
              </w:rPr>
            </w:pPr>
            <w:r w:rsidRPr="00B75954">
              <w:rPr>
                <w:rFonts w:eastAsia="Times New Roman"/>
                <w:bCs/>
                <w:i/>
                <w:iCs/>
                <w:sz w:val="22"/>
                <w:szCs w:val="22"/>
                <w:lang w:eastAsia="pl-PL"/>
              </w:rPr>
              <w:lastRenderedPageBreak/>
              <w:t>jeżeli dochodzą wierzytelności nabytych na skutek zabezpieczenia wierzytelności co do których są wierzycielem pierwotnym.</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720212" w14:textId="47EE80B4" w:rsidR="00B41A88" w:rsidRPr="0093391D" w:rsidRDefault="0093391D" w:rsidP="00EF4C00">
            <w:pPr>
              <w:snapToGrid w:val="0"/>
              <w:jc w:val="both"/>
              <w:rPr>
                <w:b/>
                <w:bCs/>
                <w:color w:val="FF0000"/>
                <w:sz w:val="22"/>
                <w:szCs w:val="22"/>
              </w:rPr>
            </w:pPr>
            <w:r w:rsidRPr="0093391D">
              <w:rPr>
                <w:b/>
                <w:bCs/>
                <w:sz w:val="22"/>
                <w:szCs w:val="22"/>
              </w:rPr>
              <w:lastRenderedPageBreak/>
              <w:t>Częściowo uwzględniono poprzez zmianę brzmienia przepisu.</w:t>
            </w:r>
            <w:r w:rsidR="00B41A88" w:rsidRPr="0093391D">
              <w:rPr>
                <w:b/>
                <w:bCs/>
                <w:color w:val="FF0000"/>
                <w:sz w:val="22"/>
                <w:szCs w:val="22"/>
              </w:rPr>
              <w:t xml:space="preserve"> </w:t>
            </w:r>
          </w:p>
        </w:tc>
      </w:tr>
      <w:tr w:rsidR="00B41A88" w:rsidRPr="007749DD" w14:paraId="7C08AEC8" w14:textId="77777777" w:rsidTr="00873465">
        <w:trPr>
          <w:trHeight w:val="863"/>
          <w:jc w:val="center"/>
        </w:trPr>
        <w:tc>
          <w:tcPr>
            <w:tcW w:w="704" w:type="dxa"/>
            <w:tcBorders>
              <w:top w:val="single" w:sz="4" w:space="0" w:color="000000" w:themeColor="text1"/>
              <w:left w:val="single" w:sz="4" w:space="0" w:color="000000" w:themeColor="text1"/>
              <w:bottom w:val="single" w:sz="4" w:space="0" w:color="000000" w:themeColor="text1"/>
            </w:tcBorders>
          </w:tcPr>
          <w:p w14:paraId="4F0DC62B"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5E78490B" w14:textId="4C3EE3EE"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5 ust. 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7971AA4" w14:textId="78F8C553"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74262BC9" w14:textId="70CEAEF5" w:rsidR="00B41A88" w:rsidRPr="0078357D" w:rsidRDefault="00B41A88" w:rsidP="00B41A88">
            <w:pPr>
              <w:spacing w:after="200"/>
              <w:contextualSpacing/>
              <w:jc w:val="both"/>
              <w:rPr>
                <w:b/>
                <w:sz w:val="22"/>
                <w:szCs w:val="22"/>
              </w:rPr>
            </w:pPr>
            <w:r w:rsidRPr="0078357D">
              <w:rPr>
                <w:b/>
                <w:sz w:val="22"/>
                <w:szCs w:val="22"/>
              </w:rPr>
              <w:t xml:space="preserve">Ad art. 5 ust. 1 projektu </w:t>
            </w:r>
          </w:p>
          <w:p w14:paraId="0AE5D1C9" w14:textId="46C7FE19" w:rsidR="00B41A88" w:rsidRPr="0078357D" w:rsidRDefault="00B41A88" w:rsidP="00B41A88">
            <w:pPr>
              <w:jc w:val="both"/>
              <w:rPr>
                <w:bCs/>
                <w:sz w:val="22"/>
                <w:szCs w:val="22"/>
              </w:rPr>
            </w:pPr>
            <w:r w:rsidRPr="0078357D">
              <w:rPr>
                <w:bCs/>
                <w:sz w:val="22"/>
                <w:szCs w:val="22"/>
              </w:rPr>
              <w:t>Po pierwsze, wskazanie w art. 5 ust. 1 pkt. 1 Projektu sugeruje, że czynności windykacyjnych dokonywać może wyłącznie osoba fizyczna, co eliminuje innowacje finansowe (</w:t>
            </w:r>
            <w:proofErr w:type="spellStart"/>
            <w:r w:rsidRPr="0078357D">
              <w:rPr>
                <w:bCs/>
                <w:sz w:val="22"/>
                <w:szCs w:val="22"/>
              </w:rPr>
              <w:t>FinTech</w:t>
            </w:r>
            <w:proofErr w:type="spellEnd"/>
            <w:r w:rsidRPr="0078357D">
              <w:rPr>
                <w:bCs/>
                <w:sz w:val="22"/>
                <w:szCs w:val="22"/>
              </w:rPr>
              <w:t xml:space="preserve">) np.: sztuczną inteligencję, czat boty itp. Rekomendowane jest dodanie po </w:t>
            </w:r>
            <w:r w:rsidRPr="0078357D">
              <w:rPr>
                <w:bCs/>
                <w:i/>
                <w:iCs/>
                <w:sz w:val="22"/>
                <w:szCs w:val="22"/>
              </w:rPr>
              <w:t>,,przez windykatora</w:t>
            </w:r>
            <w:r w:rsidRPr="0078357D">
              <w:rPr>
                <w:bCs/>
                <w:sz w:val="22"/>
                <w:szCs w:val="22"/>
              </w:rPr>
              <w:t>" sformułowania</w:t>
            </w:r>
            <w:r w:rsidRPr="0078357D">
              <w:rPr>
                <w:bCs/>
                <w:i/>
                <w:iCs/>
                <w:sz w:val="22"/>
                <w:szCs w:val="22"/>
              </w:rPr>
              <w:t xml:space="preserve"> ,,przy czym czynności windykacyjne nie obejmujące bezpośredniego kontaktu osobistego z osobą zobowiązaną mogą być podejmowane także bez udziału windykatora”. </w:t>
            </w:r>
            <w:r w:rsidRPr="0078357D">
              <w:rPr>
                <w:bCs/>
                <w:sz w:val="22"/>
                <w:szCs w:val="22"/>
              </w:rPr>
              <w:t xml:space="preserve">Względem art. 5 ust. 1 pkt. 3 należy wskazać, że istnieje subtelna, ale istotna różnica pomiędzy środkami i </w:t>
            </w:r>
            <w:proofErr w:type="spellStart"/>
            <w:r w:rsidRPr="0078357D">
              <w:rPr>
                <w:bCs/>
                <w:sz w:val="22"/>
                <w:szCs w:val="22"/>
              </w:rPr>
              <w:t>zachowaniami</w:t>
            </w:r>
            <w:proofErr w:type="spellEnd"/>
            <w:r w:rsidRPr="0078357D">
              <w:rPr>
                <w:bCs/>
                <w:sz w:val="22"/>
                <w:szCs w:val="22"/>
              </w:rPr>
              <w:t xml:space="preserve">, które mogłyby mieć charakter agresywny, a takimi, które mają charakter agresywny. W pierwszym przypadku, użytym w Projekcie, możliwa jest taka interpretacja, iż wszelkie środki (np.: SMS) które mają potencjał do bycia agresywnymi (np.: można napisać agresywny, jak i nieagresywny SMS) zostają wykluczone. Zgodnie z takim rozumieniem jeśli tylko środek ma potencjał bycia agresywnym (mógłby mieć charakter agresywny), mimo, że konkretny zastosowany środek taki nie jest, podlega wykluczeniu. Dodatkowo wskazać należy, że pojęcie ,,charakter agresywny” jest wyjątkowo nieokreślone i zupełnie cel przepisu realizowałoby pozostawienie zakazu środków i zachowań związanych ze stosowaniem przemocy, gróźb lub wprowadzających inną osobę w błąd. Niezbędne jest więc doprecyzowanie wskazanego przepisu.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ADB515" w14:textId="636514B9" w:rsidR="00B41A88" w:rsidRPr="007749DD" w:rsidRDefault="00C63089" w:rsidP="00EF4C00">
            <w:pPr>
              <w:snapToGrid w:val="0"/>
              <w:jc w:val="both"/>
              <w:rPr>
                <w:sz w:val="22"/>
                <w:szCs w:val="22"/>
              </w:rPr>
            </w:pPr>
            <w:r w:rsidRPr="0093391D">
              <w:rPr>
                <w:b/>
                <w:bCs/>
                <w:sz w:val="22"/>
                <w:szCs w:val="22"/>
              </w:rPr>
              <w:t>Częściowo uwzględniono poprzez zmianę brzmienia przepisu.</w:t>
            </w:r>
          </w:p>
        </w:tc>
      </w:tr>
      <w:tr w:rsidR="00B41A88" w:rsidRPr="007749DD" w14:paraId="3FBE1360"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317ED9FC"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6A7D5829" w14:textId="24779B49"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5 ust. 2 oraz art. 53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5ABFEE6" w14:textId="7AB70998"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3F8D88DD" w14:textId="00F280C6" w:rsidR="00B41A88" w:rsidRPr="0078357D" w:rsidRDefault="00B41A88" w:rsidP="00B41A88">
            <w:pPr>
              <w:spacing w:after="200"/>
              <w:contextualSpacing/>
              <w:jc w:val="both"/>
              <w:rPr>
                <w:b/>
                <w:sz w:val="22"/>
                <w:szCs w:val="22"/>
              </w:rPr>
            </w:pPr>
            <w:r w:rsidRPr="0078357D">
              <w:rPr>
                <w:b/>
                <w:sz w:val="22"/>
                <w:szCs w:val="22"/>
              </w:rPr>
              <w:t xml:space="preserve">Ad art. 5 ust. 2 oraz art. 53 projektu </w:t>
            </w:r>
          </w:p>
          <w:p w14:paraId="6BE7B3E9" w14:textId="77777777" w:rsidR="00B41A88" w:rsidRPr="0078357D" w:rsidRDefault="00B41A88" w:rsidP="00B41A88">
            <w:pPr>
              <w:jc w:val="both"/>
              <w:rPr>
                <w:bCs/>
                <w:sz w:val="22"/>
                <w:szCs w:val="22"/>
              </w:rPr>
            </w:pPr>
            <w:r w:rsidRPr="0078357D">
              <w:rPr>
                <w:bCs/>
                <w:sz w:val="22"/>
                <w:szCs w:val="22"/>
              </w:rPr>
              <w:t xml:space="preserve">Względem art. 5 ust. 2 pkt. 1 Projektu w pierwszej kolejności wskazać należy, iż przepis ten wprowadza jednocześnie obowiązek gromadzenia informacji i dokumentów potwierdzających fakt wystąpienia okoliczności wyłączających możliwość prowadzenia czynności windykacyjnych. Należy pamiętać, że ani wierzyciele pierwotni ani wierzyciele wtórni nie dysponują tego typu danymi. Takie wyłączenie powodować zatem będzie konieczność ustalenia (i nie wiadomo w jaki sposób) czy takie okoliczności występują. Zasadność gromadzenia takich danych przez przedsiębiorstwo windykacyjne jest wątpliwe z punktu widzenia ochrony prywatności tych osób – Projektodawca chce tym samym niejako osłabić prywatność obywateli w zakresie ich wieku, choroby i niepełnosprawności. Projektowany przepis rodzi też wątpliwości z perspektywy systemu ochrony danych osobowych. </w:t>
            </w:r>
          </w:p>
          <w:p w14:paraId="32EDD287" w14:textId="77777777" w:rsidR="00B41A88" w:rsidRPr="0078357D" w:rsidRDefault="00B41A88" w:rsidP="00B41A88">
            <w:pPr>
              <w:jc w:val="both"/>
              <w:rPr>
                <w:bCs/>
                <w:sz w:val="22"/>
                <w:szCs w:val="22"/>
              </w:rPr>
            </w:pPr>
          </w:p>
          <w:p w14:paraId="68B259A3" w14:textId="77777777" w:rsidR="00B41A88" w:rsidRPr="0078357D" w:rsidRDefault="00B41A88" w:rsidP="00B41A88">
            <w:pPr>
              <w:jc w:val="both"/>
              <w:rPr>
                <w:bCs/>
                <w:sz w:val="22"/>
                <w:szCs w:val="22"/>
              </w:rPr>
            </w:pPr>
            <w:r w:rsidRPr="0078357D">
              <w:rPr>
                <w:bCs/>
                <w:sz w:val="22"/>
                <w:szCs w:val="22"/>
              </w:rPr>
              <w:t xml:space="preserve">Przepis ten – paradoksalnie – wymierzony jest w osoby starsze i niepełnosprawne. Raz, tworzy ich systemową dyskryminację tj. brak możliwości prowadzenia działań polubownych w stosunku do tych osób spowoduje konieczność przekazania takich spraw na drogę postępowania sądowego (co wiąże się z większym kosztem – finansowym, emocjonalnym, czasowym), jak i wykluczy szansę na np.: rozłożenie na raty, negocjacje spłaty, czy częściowe umorzenie. Dwa, stwarza ryzyko wykluczenia </w:t>
            </w:r>
            <w:r w:rsidRPr="0078357D">
              <w:rPr>
                <w:bCs/>
                <w:sz w:val="22"/>
                <w:szCs w:val="22"/>
              </w:rPr>
              <w:lastRenderedPageBreak/>
              <w:t xml:space="preserve">finansowego wskazanych osób. Wprowadzenie zakazu windykacji osób powyżej 75 roku życia lub osób słabowidzących w stopniu znacznym i niewidomych może wykluczyć nie tylko te grupy społeczne z rynku kredytowego i pożyczkowego (lub pogorszyć ich sytuację), ale i grupę np.: 50-60+ (z uwagi na konieczność uwzględnienia długości pierwotnych harmonogramów spłaty). Tym samym Projekt może ograniczyć osobom starszym lecz w wieku produkcyjnym dostęp do kredytowania o dłuższym horyzoncie czasowym. Trzy, należy zadać pytanie, czy założenie, że osoby niewidome albo słabowidzące są z definicji niezdolne do spłaty swoich zobowiązań zostało przyjęte po konsultacjach z tymi grupami społecznymi? Inną kwestią jest to dlaczego w katalogu osób wobec których nie mogą być prowadzone czynności windykacyjne znalazły się osoby niewidome albo słabowidzące, ale zabrakło osób niesłyszących i niedosłyszących. W końcu cztery, seniorzy mogą zostać narażeni na to, że osoby młodsze w rodzinie będą zawierały w ich imieniu umowy kredytowe lub pożyczkowe, co w połączeniu z konsekwencjami postępowania sądowego nie będzie służyło ochronie ich praw. Powstaje wrażenie, iż Projektodawca stworzył wskazany zakaz bez analizy jego skutków, tym samym, tworząc przepis uderzający w słabszych. </w:t>
            </w:r>
          </w:p>
          <w:p w14:paraId="1D259ED4" w14:textId="77777777" w:rsidR="00B41A88" w:rsidRPr="0078357D" w:rsidRDefault="00B41A88" w:rsidP="00B41A88">
            <w:pPr>
              <w:jc w:val="both"/>
              <w:rPr>
                <w:bCs/>
                <w:sz w:val="22"/>
                <w:szCs w:val="22"/>
              </w:rPr>
            </w:pPr>
          </w:p>
          <w:p w14:paraId="0AEC2744" w14:textId="0BB21CC0" w:rsidR="00B41A88" w:rsidRPr="0078357D" w:rsidRDefault="00B41A88" w:rsidP="00B41A88">
            <w:pPr>
              <w:jc w:val="both"/>
              <w:rPr>
                <w:bCs/>
                <w:sz w:val="22"/>
                <w:szCs w:val="22"/>
              </w:rPr>
            </w:pPr>
            <w:r w:rsidRPr="0078357D">
              <w:rPr>
                <w:bCs/>
                <w:sz w:val="22"/>
                <w:szCs w:val="22"/>
              </w:rPr>
              <w:t xml:space="preserve">W związku z powyższym należy zrezygnować z zaproponowanych rozwiązań w Projekcie. Rozwiązaniem minimum jest dodanie ust. 3 o treści: </w:t>
            </w:r>
            <w:r w:rsidRPr="0078357D">
              <w:rPr>
                <w:bCs/>
                <w:i/>
                <w:iCs/>
                <w:sz w:val="22"/>
                <w:szCs w:val="22"/>
              </w:rPr>
              <w:t>,,Czynności windykacyjne mogą być podejmowane w stosunku do osób o których mowa w ust. 2 pkt 1 b) i d) oraz ust. 2 pkt 2 na ich wyraźny wniosek"</w:t>
            </w:r>
            <w:r w:rsidRPr="0078357D">
              <w:rPr>
                <w:bCs/>
                <w:sz w:val="22"/>
                <w:szCs w:val="22"/>
              </w:rPr>
              <w:t xml:space="preserve"> oraz dodanie ust. 4 do art. 5 Projektu, wskazującego, iż zakaz podejmowania czynności windykacyjnych nie dotyczy możliwości/obowiązku doręczenia osobie zadłużonej noty windykacyjnej, która ma charakter informacyjny i nie można pozbawiać tej grupy osób wiedzy na temat tego, kto jest obecnym wierzycielem. Trzeba jednakże zaznaczyć, że taka zmiana minimum rozwiąże tylko część wskazanego wyżej problemu (stąd chcąc go rozwiązać w ogóle należy zrezygnować z zaproponowanych rozwiązań w Projekcie). </w:t>
            </w:r>
          </w:p>
          <w:p w14:paraId="20AB036B" w14:textId="77777777" w:rsidR="00B41A88" w:rsidRPr="0078357D" w:rsidRDefault="00B41A88" w:rsidP="00B41A88">
            <w:pPr>
              <w:jc w:val="both"/>
              <w:rPr>
                <w:bCs/>
                <w:sz w:val="22"/>
                <w:szCs w:val="22"/>
              </w:rPr>
            </w:pPr>
          </w:p>
          <w:p w14:paraId="5B332052" w14:textId="0E40789A" w:rsidR="00B41A88" w:rsidRPr="0078357D" w:rsidRDefault="00B41A88" w:rsidP="00B41A88">
            <w:pPr>
              <w:jc w:val="both"/>
              <w:rPr>
                <w:bCs/>
                <w:sz w:val="22"/>
                <w:szCs w:val="22"/>
              </w:rPr>
            </w:pPr>
            <w:r w:rsidRPr="0078357D">
              <w:rPr>
                <w:bCs/>
                <w:sz w:val="22"/>
                <w:szCs w:val="22"/>
              </w:rPr>
              <w:t xml:space="preserve">Jednocześnie Projektodawca przewiduje art. 53 Projektu który sankcjonuje ,,prowadzenie czynności windykacyjnych” wobec osób wskazanych w art. 5 ust. 2 Projektu. Wobec niejasnej i szerokiej definicji ,,czynności windykacyjnych” przepis stanowi swojego rodzaju pułapkę karną. Wymaga on z jednej strony identyfikacji określonych cech (np.: wiek lub niepełnosprawność), która to identyfikacja może być uznana za czynność windykacyjną, ale jednocześnie zabrania prowadzenia czynności windykacyjnych wobec wskazanych osób pod groźbą sankcji karnej. Jest to konstrukcja niedopuszczalna i podważająca zaufanie do państwa prawa. Względem art. 5 ust. 2 pkt. 2 Projektu wskazać należy, iż taka regulacja, w połączeniu z zakazem dochodzenia wierzytelności przedawnionych na drodze sądowej, statuuje niewypowiedzianą wprost instytucję wygaśnięcia zobowiązań przedawnionych. Brak jakiejkolwiek możliwości uzyskania spłaty takiej należności jest sprzeczny z nadrzędnym obowiązkiem, nie tylko </w:t>
            </w:r>
            <w:r w:rsidRPr="0078357D">
              <w:rPr>
                <w:bCs/>
                <w:sz w:val="22"/>
                <w:szCs w:val="22"/>
              </w:rPr>
              <w:lastRenderedPageBreak/>
              <w:t>prawnym, ale także moralnym, w postaci konieczności spłaty swoich zobowiązań. Zakaz ten spowoduje, ze wierzytelności te w pewnym zakresie będą wygasać/znikać z bilansu zadłużenia danej osoby podczas gdy należność przeterminowana staje się zobowiązaniem naturalnym, które może zostać dobrowolnie przez osobę zadłużoną spłacone. Nowelizacja daje przyzwolenie, by nie realizować zaciągniętych zobowiązań.</w:t>
            </w:r>
          </w:p>
          <w:p w14:paraId="536BC247" w14:textId="77777777" w:rsidR="00B41A88" w:rsidRPr="0078357D" w:rsidRDefault="00B41A88" w:rsidP="00B41A88">
            <w:pPr>
              <w:jc w:val="both"/>
              <w:rPr>
                <w:bCs/>
                <w:sz w:val="22"/>
                <w:szCs w:val="22"/>
              </w:rPr>
            </w:pPr>
          </w:p>
          <w:p w14:paraId="68090B7C" w14:textId="77777777" w:rsidR="00B41A88" w:rsidRPr="0078357D" w:rsidRDefault="00B41A88" w:rsidP="00B41A88">
            <w:pPr>
              <w:jc w:val="both"/>
              <w:rPr>
                <w:bCs/>
                <w:sz w:val="22"/>
                <w:szCs w:val="22"/>
              </w:rPr>
            </w:pPr>
            <w:r w:rsidRPr="0078357D">
              <w:rPr>
                <w:bCs/>
                <w:sz w:val="22"/>
                <w:szCs w:val="22"/>
              </w:rPr>
              <w:t>Projekt nie przewiduje sytuacji, w której wierzytelność jest przedawniona, ale jednocześnie wierzyciel jest uprawniony do uzyskania zaspokojenia z przedmiotu zabezpieczenia (hipoteka, zastaw) - Projekt powinien zatem wprowadzić zastrzeżenie, że w takiej sytuacji czynności windykacyjne są dozwolone. Ponadto kwestia przedawnienia może mieć charakter sporny w związku z wcześniejszymi czynnościami przerywającymi bieg przedawnienia - wierzyciel oraz windykator może mieć przeświadczenie o tym, że wierzytelność nie jest wierzytelnością przedawnioną. Projekt nie reguluje, kto, kiedy, na jakiej podstawie ma ocenić kwestię przedawnienia.</w:t>
            </w:r>
          </w:p>
          <w:p w14:paraId="3E0A9141" w14:textId="77777777" w:rsidR="00B41A88" w:rsidRPr="0078357D" w:rsidRDefault="00B41A88" w:rsidP="00B41A88">
            <w:pPr>
              <w:jc w:val="both"/>
              <w:rPr>
                <w:bCs/>
                <w:sz w:val="22"/>
                <w:szCs w:val="22"/>
              </w:rPr>
            </w:pPr>
          </w:p>
          <w:p w14:paraId="73D10528" w14:textId="1EAB59BF" w:rsidR="00B41A88" w:rsidRPr="0078357D" w:rsidRDefault="00B41A88" w:rsidP="00B41A88">
            <w:pPr>
              <w:jc w:val="both"/>
              <w:rPr>
                <w:bCs/>
                <w:sz w:val="22"/>
                <w:szCs w:val="22"/>
              </w:rPr>
            </w:pPr>
            <w:r w:rsidRPr="0078357D">
              <w:rPr>
                <w:bCs/>
                <w:sz w:val="22"/>
                <w:szCs w:val="22"/>
              </w:rPr>
              <w:t>Skrócenie okresu przedawnienia i zakaz windykacji wierzytelności przedawnionych – w połączeniu z ograniczonym prawem wierzycieli do dostępu do danych adresowych klientów - może zachęcać do patologicznych zachowań dłużników. Prawo ułatwiające nieuczciwym osobom uniknięcie odpowiedzialności za zobowiązania (okres krótki, wpływający nieznacznie na wysokość świadczeń emerytalnych, niektóre osoby mogą uznać, iż warto jest podjąć „pracę na czarno”, wyjechać poza granicę, ukrywać miejsce pobytu w celu doprowadzenia bezskuteczności egzekucji, a następnie przedawnienia). Świadomość krótkiego terminu przedawnienia wpłynie na pogorszenie moralności płatniczej.</w:t>
            </w:r>
          </w:p>
          <w:p w14:paraId="34BFD0EF" w14:textId="77777777" w:rsidR="00B41A88" w:rsidRPr="0078357D" w:rsidRDefault="00B41A88" w:rsidP="00B41A88">
            <w:pPr>
              <w:jc w:val="both"/>
              <w:rPr>
                <w:bCs/>
                <w:sz w:val="22"/>
                <w:szCs w:val="22"/>
              </w:rPr>
            </w:pPr>
          </w:p>
          <w:p w14:paraId="125EADE0" w14:textId="4C338140" w:rsidR="00B41A88" w:rsidRPr="0078357D" w:rsidRDefault="00B41A88" w:rsidP="00B41A88">
            <w:pPr>
              <w:jc w:val="both"/>
              <w:rPr>
                <w:bCs/>
                <w:sz w:val="22"/>
                <w:szCs w:val="22"/>
              </w:rPr>
            </w:pPr>
            <w:r w:rsidRPr="0078357D">
              <w:rPr>
                <w:bCs/>
                <w:sz w:val="22"/>
                <w:szCs w:val="22"/>
              </w:rPr>
              <w:t xml:space="preserve">W tym kontekście należy wskazać także na art. 53 ust. 2 Projektu, który wprowadza sankcję za prowadzenie czynności windykacyjnych wobec należności, które uległy przedawnieniu. Podtrzymując powyższe argumenty można podjąć skrótowo, iż wprowadzanie sankcji karnej (nawet pozbawienia wolności do lat 2) za dochodzenie przedawnionej należności, podczas gdy należność taka może być sporna w zakresie swojego przedawnienia, jest znowu konstrukcją niedopuszczalną i podważającą zaufanie do państwa prawa.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412891" w14:textId="37D8D626" w:rsidR="00B41A88" w:rsidRPr="007749DD" w:rsidRDefault="00C63089" w:rsidP="00EF4C00">
            <w:pPr>
              <w:snapToGrid w:val="0"/>
              <w:jc w:val="both"/>
              <w:rPr>
                <w:sz w:val="22"/>
                <w:szCs w:val="22"/>
              </w:rPr>
            </w:pPr>
            <w:r w:rsidRPr="0093391D">
              <w:rPr>
                <w:b/>
                <w:bCs/>
                <w:sz w:val="22"/>
                <w:szCs w:val="22"/>
              </w:rPr>
              <w:lastRenderedPageBreak/>
              <w:t>Częściowo uwzględniono poprzez zmianę brzmienia przepisu.</w:t>
            </w:r>
            <w:r w:rsidRPr="0093391D">
              <w:rPr>
                <w:b/>
                <w:bCs/>
                <w:color w:val="FF0000"/>
                <w:sz w:val="22"/>
                <w:szCs w:val="22"/>
              </w:rPr>
              <w:t xml:space="preserve"> </w:t>
            </w:r>
          </w:p>
        </w:tc>
      </w:tr>
      <w:tr w:rsidR="00B41A88" w:rsidRPr="007749DD" w14:paraId="2B5FFE85"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6BE67882"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03AA0F89" w14:textId="45CE6D20"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6 oraz art. 54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E22BB6F" w14:textId="5AF80394"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63B660E6" w14:textId="48E632A7" w:rsidR="00B41A88" w:rsidRPr="0078357D" w:rsidRDefault="00B41A88" w:rsidP="00B41A88">
            <w:pPr>
              <w:spacing w:after="200"/>
              <w:contextualSpacing/>
              <w:jc w:val="both"/>
              <w:rPr>
                <w:b/>
                <w:sz w:val="22"/>
                <w:szCs w:val="22"/>
              </w:rPr>
            </w:pPr>
            <w:r w:rsidRPr="0078357D">
              <w:rPr>
                <w:b/>
                <w:sz w:val="22"/>
                <w:szCs w:val="22"/>
              </w:rPr>
              <w:t xml:space="preserve">Ad art. 6 oraz art. 54 projektu </w:t>
            </w:r>
          </w:p>
          <w:p w14:paraId="66B04C84" w14:textId="77777777" w:rsidR="00B41A88" w:rsidRPr="0078357D" w:rsidRDefault="00B41A88" w:rsidP="00B41A88">
            <w:pPr>
              <w:jc w:val="both"/>
              <w:rPr>
                <w:bCs/>
                <w:sz w:val="22"/>
                <w:szCs w:val="22"/>
              </w:rPr>
            </w:pPr>
            <w:r w:rsidRPr="0078357D">
              <w:rPr>
                <w:bCs/>
                <w:sz w:val="22"/>
                <w:szCs w:val="22"/>
              </w:rPr>
              <w:t xml:space="preserve">Nie jest zrozumiałe jakich określeń powinny używać podmioty wyłączone z zakresu Projektu. </w:t>
            </w:r>
          </w:p>
          <w:p w14:paraId="1474528D" w14:textId="77777777" w:rsidR="00B41A88" w:rsidRPr="0078357D" w:rsidRDefault="00B41A88" w:rsidP="00B41A88">
            <w:pPr>
              <w:jc w:val="both"/>
              <w:rPr>
                <w:bCs/>
                <w:sz w:val="22"/>
                <w:szCs w:val="22"/>
              </w:rPr>
            </w:pPr>
          </w:p>
          <w:p w14:paraId="4D8FA298" w14:textId="77777777" w:rsidR="00B41A88" w:rsidRPr="0078357D" w:rsidRDefault="00B41A88" w:rsidP="00B41A88">
            <w:pPr>
              <w:jc w:val="both"/>
              <w:rPr>
                <w:bCs/>
                <w:sz w:val="22"/>
                <w:szCs w:val="22"/>
              </w:rPr>
            </w:pPr>
            <w:r w:rsidRPr="0078357D">
              <w:rPr>
                <w:bCs/>
                <w:sz w:val="22"/>
                <w:szCs w:val="22"/>
              </w:rPr>
              <w:t xml:space="preserve">Ponadto takie rozwiązanie będzie mieć daleko idące skutki, których Projektodawca nie wziął pod uwagę. Przykładowo: </w:t>
            </w:r>
          </w:p>
          <w:p w14:paraId="1A5D83FA" w14:textId="77777777" w:rsidR="00B41A88" w:rsidRPr="0078357D" w:rsidRDefault="00B41A88" w:rsidP="00B41A88">
            <w:pPr>
              <w:pStyle w:val="Akapitzlist"/>
              <w:numPr>
                <w:ilvl w:val="0"/>
                <w:numId w:val="4"/>
              </w:numPr>
              <w:spacing w:after="200"/>
              <w:jc w:val="both"/>
              <w:rPr>
                <w:bCs/>
                <w:sz w:val="22"/>
                <w:szCs w:val="22"/>
              </w:rPr>
            </w:pPr>
            <w:r w:rsidRPr="0078357D">
              <w:rPr>
                <w:bCs/>
                <w:sz w:val="22"/>
                <w:szCs w:val="22"/>
              </w:rPr>
              <w:t xml:space="preserve">Te same działania prowadzone przez podmiot zarządzający wierzytelnościami (działający na podstawie art. 192 Ustawy o </w:t>
            </w:r>
            <w:r w:rsidRPr="0078357D">
              <w:rPr>
                <w:bCs/>
                <w:sz w:val="22"/>
                <w:szCs w:val="22"/>
              </w:rPr>
              <w:lastRenderedPageBreak/>
              <w:t>Funduszach), wierzyciela pierwotnego oraz przedsiębiorstwo windykacyjne będą musiały nazywać się inaczej, żeby unikać stosowania terminu „windykacja”;</w:t>
            </w:r>
          </w:p>
          <w:p w14:paraId="109CD0BC" w14:textId="77777777" w:rsidR="00B41A88" w:rsidRPr="0078357D" w:rsidRDefault="00B41A88" w:rsidP="00B41A88">
            <w:pPr>
              <w:pStyle w:val="Akapitzlist"/>
              <w:numPr>
                <w:ilvl w:val="0"/>
                <w:numId w:val="4"/>
              </w:numPr>
              <w:spacing w:after="200"/>
              <w:jc w:val="both"/>
              <w:rPr>
                <w:bCs/>
                <w:sz w:val="22"/>
                <w:szCs w:val="22"/>
              </w:rPr>
            </w:pPr>
            <w:r w:rsidRPr="0078357D">
              <w:rPr>
                <w:bCs/>
                <w:sz w:val="22"/>
                <w:szCs w:val="22"/>
              </w:rPr>
              <w:t>Kodeks cywilny posługuje się terminem „zapis windykacyjny” na potrzeby prawa spadkowego – czy trzeba będzie zmieniać terminologię kodeksu cywilnego;</w:t>
            </w:r>
          </w:p>
          <w:p w14:paraId="6B0077A3" w14:textId="77777777" w:rsidR="00B41A88" w:rsidRPr="0078357D" w:rsidRDefault="00B41A88" w:rsidP="00B41A88">
            <w:pPr>
              <w:pStyle w:val="Akapitzlist"/>
              <w:numPr>
                <w:ilvl w:val="0"/>
                <w:numId w:val="4"/>
              </w:numPr>
              <w:spacing w:after="200"/>
              <w:jc w:val="both"/>
              <w:rPr>
                <w:bCs/>
                <w:sz w:val="22"/>
                <w:szCs w:val="22"/>
              </w:rPr>
            </w:pPr>
            <w:r w:rsidRPr="0078357D">
              <w:rPr>
                <w:bCs/>
                <w:sz w:val="22"/>
                <w:szCs w:val="22"/>
              </w:rPr>
              <w:t>Wątpliwości w zakresie ochrony praw nabytych, np. znaki towarowe zawierające firmę, w której występuje słowo „windykacja”.</w:t>
            </w:r>
          </w:p>
          <w:p w14:paraId="057D61CD" w14:textId="3C8EDB74" w:rsidR="00B41A88" w:rsidRPr="0078357D" w:rsidRDefault="00B41A88" w:rsidP="00B41A88">
            <w:pPr>
              <w:jc w:val="both"/>
              <w:rPr>
                <w:bCs/>
                <w:sz w:val="22"/>
                <w:szCs w:val="22"/>
              </w:rPr>
            </w:pPr>
            <w:r w:rsidRPr="0078357D">
              <w:rPr>
                <w:bCs/>
                <w:sz w:val="22"/>
                <w:szCs w:val="22"/>
              </w:rPr>
              <w:t>Problematyka jest o tyle doniosła, że w art. 54 Projektu przewidziano stosowne sankcje, których stosowanie jest wyjątkowo nieprecyzyjne.</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0DDF78" w14:textId="77777777" w:rsidR="00390805" w:rsidRDefault="00C63089" w:rsidP="00B41A88">
            <w:pPr>
              <w:snapToGrid w:val="0"/>
              <w:rPr>
                <w:sz w:val="22"/>
                <w:szCs w:val="22"/>
              </w:rPr>
            </w:pPr>
            <w:r w:rsidRPr="00390805">
              <w:rPr>
                <w:b/>
                <w:bCs/>
                <w:sz w:val="22"/>
                <w:szCs w:val="22"/>
              </w:rPr>
              <w:lastRenderedPageBreak/>
              <w:t>Nie uwzględniono.</w:t>
            </w:r>
            <w:r>
              <w:rPr>
                <w:sz w:val="22"/>
                <w:szCs w:val="22"/>
              </w:rPr>
              <w:t xml:space="preserve"> </w:t>
            </w:r>
          </w:p>
          <w:p w14:paraId="35686D7D" w14:textId="4AE3D923" w:rsidR="00B41A88" w:rsidRPr="007749DD" w:rsidRDefault="00C63089" w:rsidP="00504076">
            <w:pPr>
              <w:snapToGrid w:val="0"/>
              <w:jc w:val="both"/>
              <w:rPr>
                <w:sz w:val="22"/>
                <w:szCs w:val="22"/>
              </w:rPr>
            </w:pPr>
            <w:r>
              <w:rPr>
                <w:sz w:val="22"/>
                <w:szCs w:val="22"/>
              </w:rPr>
              <w:t>Pojęcia i definicje określone w proje</w:t>
            </w:r>
            <w:r w:rsidR="00390805">
              <w:rPr>
                <w:sz w:val="22"/>
                <w:szCs w:val="22"/>
              </w:rPr>
              <w:t>k</w:t>
            </w:r>
            <w:r>
              <w:rPr>
                <w:sz w:val="22"/>
                <w:szCs w:val="22"/>
              </w:rPr>
              <w:t xml:space="preserve">towanej ustawie mają zastosowanie tylko w sytuacjach określonych w tej ustawie, o ile odrębne przepisy nie będą się odnosiły do tej ustawy albo pojęć w niej określonych </w:t>
            </w:r>
            <w:r w:rsidR="00390805">
              <w:rPr>
                <w:sz w:val="22"/>
                <w:szCs w:val="22"/>
              </w:rPr>
              <w:t xml:space="preserve">projektodawca nie widzi </w:t>
            </w:r>
            <w:r w:rsidR="00390805">
              <w:rPr>
                <w:sz w:val="22"/>
                <w:szCs w:val="22"/>
              </w:rPr>
              <w:lastRenderedPageBreak/>
              <w:t>zagrożenia zaistnienia konfliktu terminologicznego.</w:t>
            </w:r>
          </w:p>
          <w:p w14:paraId="361DAC19" w14:textId="795E0725" w:rsidR="00B41A88" w:rsidRPr="007749DD" w:rsidRDefault="00B41A88" w:rsidP="00B41A88">
            <w:pPr>
              <w:snapToGrid w:val="0"/>
              <w:rPr>
                <w:sz w:val="22"/>
                <w:szCs w:val="22"/>
              </w:rPr>
            </w:pPr>
          </w:p>
        </w:tc>
      </w:tr>
      <w:tr w:rsidR="00B41A88" w:rsidRPr="007749DD" w14:paraId="52162E0A" w14:textId="77777777" w:rsidTr="00873465">
        <w:trPr>
          <w:trHeight w:val="721"/>
          <w:jc w:val="center"/>
        </w:trPr>
        <w:tc>
          <w:tcPr>
            <w:tcW w:w="704" w:type="dxa"/>
            <w:tcBorders>
              <w:top w:val="single" w:sz="4" w:space="0" w:color="000000" w:themeColor="text1"/>
              <w:left w:val="single" w:sz="4" w:space="0" w:color="000000" w:themeColor="text1"/>
              <w:bottom w:val="single" w:sz="4" w:space="0" w:color="000000" w:themeColor="text1"/>
            </w:tcBorders>
          </w:tcPr>
          <w:p w14:paraId="672A0FFB"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53B3FA5B" w14:textId="5B9B953C"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A985DA9" w14:textId="11E5BC94"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189D2D63" w14:textId="7AAB7F81" w:rsidR="00B41A88" w:rsidRPr="0078357D" w:rsidRDefault="00B41A88" w:rsidP="00B41A88">
            <w:pPr>
              <w:spacing w:after="200"/>
              <w:contextualSpacing/>
              <w:jc w:val="both"/>
              <w:rPr>
                <w:b/>
                <w:sz w:val="22"/>
                <w:szCs w:val="22"/>
              </w:rPr>
            </w:pPr>
            <w:r w:rsidRPr="0078357D">
              <w:rPr>
                <w:b/>
                <w:sz w:val="22"/>
                <w:szCs w:val="22"/>
              </w:rPr>
              <w:t xml:space="preserve">Ad art. 7 projektu </w:t>
            </w:r>
          </w:p>
          <w:p w14:paraId="050F0378" w14:textId="2C0B834D" w:rsidR="00B41A88" w:rsidRPr="0078357D" w:rsidRDefault="00B41A88" w:rsidP="00B41A88">
            <w:pPr>
              <w:jc w:val="both"/>
              <w:rPr>
                <w:bCs/>
                <w:sz w:val="22"/>
                <w:szCs w:val="22"/>
              </w:rPr>
            </w:pPr>
            <w:r w:rsidRPr="0078357D">
              <w:rPr>
                <w:bCs/>
                <w:sz w:val="22"/>
                <w:szCs w:val="22"/>
              </w:rPr>
              <w:t xml:space="preserve">Względem art. 7 ust. 1 Projektu należy wskazać, że nie jest zrozumiałym w żadnym stopniu ani czemu jedyną formą ma być spółka akcyjna ani czemu kapitał zakładowy ma wynieść 5 mln. zł. W OSR wskazano, iż forma spółki akcyjnej ma zapewnić ,,minimalny poziom rzetelności działania oraz stabilności finansowej”, co sugeruje, że np.: minimalnego poziomu rzetelności i stabilności nie spełniają z definicji spółki z ograniczoną odpowiedzialnością. Nie wiadomo też czemu kapitał zakładowy ma wynieść akurat 5 mln. zł. Dodać należy na marginesie, że w uzasadnieniu Projektu wskazano z kolei 20 mln. zł co sugeruje, że Projektodawca nie do końca potrafi uzasadnić tego wyboru. Rekomendowane jest zaniechanie regulowania formy prawnej oraz przeanalizowanie tematyki kapitału zakładowego. O ile należy poprzeć minimalne progi wejścia do omawianego sektora, o tyle nie powinny one zaburzać konkurencji i prowadzić do </w:t>
            </w:r>
            <w:proofErr w:type="spellStart"/>
            <w:r w:rsidRPr="0078357D">
              <w:rPr>
                <w:bCs/>
                <w:sz w:val="22"/>
                <w:szCs w:val="22"/>
              </w:rPr>
              <w:t>oligopolizacji</w:t>
            </w:r>
            <w:proofErr w:type="spellEnd"/>
            <w:r w:rsidRPr="0078357D">
              <w:rPr>
                <w:bCs/>
                <w:sz w:val="22"/>
                <w:szCs w:val="22"/>
              </w:rPr>
              <w:t xml:space="preserve"> rynku. Tak jest w przypadku ogółu rozwiązań wskazanych w Projekcie. Rozwiązania wskazane w Projekcie mogą mieć wpływ i na wyższe ceny i na likwidację miejsc pracy. </w:t>
            </w:r>
          </w:p>
          <w:p w14:paraId="2C04CF5D" w14:textId="77777777" w:rsidR="00B41A88" w:rsidRPr="0078357D" w:rsidRDefault="00B41A88" w:rsidP="00B41A88">
            <w:pPr>
              <w:jc w:val="both"/>
              <w:rPr>
                <w:bCs/>
                <w:sz w:val="22"/>
                <w:szCs w:val="22"/>
              </w:rPr>
            </w:pPr>
          </w:p>
          <w:p w14:paraId="4F93E22D" w14:textId="77777777" w:rsidR="00B41A88" w:rsidRPr="0078357D" w:rsidRDefault="00B41A88" w:rsidP="00B41A88">
            <w:pPr>
              <w:jc w:val="both"/>
              <w:rPr>
                <w:bCs/>
                <w:sz w:val="22"/>
                <w:szCs w:val="22"/>
              </w:rPr>
            </w:pPr>
            <w:r w:rsidRPr="0078357D">
              <w:rPr>
                <w:bCs/>
                <w:sz w:val="22"/>
                <w:szCs w:val="22"/>
              </w:rPr>
              <w:t xml:space="preserve">Należy pamiętać, że firmy windykacyjne nie udzielają kredytów czy pożyczek, nie finansują zazwyczaj swojej działalności windykacyjnej (zakładając, że nie prowadzą równolegle działalności związanej z nabywaniem wierzytelności) z emisji obligacji – dla porównania wymóg kapitałowy dla instytucji pożyczkowych w procedowanej ustawie o przeciwdziałaniu lichwie to na ten moment 1 mln. zł. Nieznane jest zatem odniesienie i uzasadnienie dla 5 mln. zł w przypadku firm windykacyjnych. </w:t>
            </w:r>
          </w:p>
          <w:p w14:paraId="7758A572" w14:textId="77777777" w:rsidR="00B41A88" w:rsidRPr="0078357D" w:rsidRDefault="00B41A88" w:rsidP="00B41A88">
            <w:pPr>
              <w:jc w:val="both"/>
              <w:rPr>
                <w:bCs/>
                <w:sz w:val="22"/>
                <w:szCs w:val="22"/>
              </w:rPr>
            </w:pPr>
          </w:p>
          <w:p w14:paraId="024DE5C1" w14:textId="50B8E83B" w:rsidR="00B41A88" w:rsidRPr="0078357D" w:rsidRDefault="00B41A88" w:rsidP="00B41A88">
            <w:pPr>
              <w:jc w:val="both"/>
              <w:rPr>
                <w:bCs/>
                <w:sz w:val="22"/>
                <w:szCs w:val="22"/>
              </w:rPr>
            </w:pPr>
            <w:r w:rsidRPr="0078357D">
              <w:rPr>
                <w:bCs/>
                <w:sz w:val="22"/>
                <w:szCs w:val="22"/>
              </w:rPr>
              <w:t xml:space="preserve">Dodatkowo należy zauważyć, że taka formuła ujęcia kapitału zakładowego w kontekście do art. 9 pkt 2 lit. a) Projektu i za sprawą wahania kursu walut może prowadzić do stwierdzenia, że osoba prawna, mająca siedzibę na terytorium innego państwa członkowskiego UE lub EFTA nie spełnia już wymogu posiadania kapitału zakładowego w wysokości 5 mln zł, co powinno, zgodnie z tym przepisem, prowadzić do wykreślenia </w:t>
            </w:r>
            <w:r w:rsidRPr="0078357D">
              <w:rPr>
                <w:bCs/>
                <w:sz w:val="22"/>
                <w:szCs w:val="22"/>
              </w:rPr>
              <w:lastRenderedPageBreak/>
              <w:t>takiego podmiotu z rejestru i skutkować niemożliwością wydania kolejnego zezwolenia. Należałoby doprecyzować w jaki sposób i na jakich warunkach będzie badana wysokość kapitału zakładowego takich podmiotów.</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73C9ED" w14:textId="23FC4D90" w:rsidR="00B41A88" w:rsidRPr="007749DD" w:rsidRDefault="00504076" w:rsidP="004C325A">
            <w:pPr>
              <w:spacing w:line="259" w:lineRule="auto"/>
              <w:jc w:val="both"/>
            </w:pPr>
            <w:r w:rsidRPr="0093391D">
              <w:rPr>
                <w:b/>
                <w:bCs/>
                <w:sz w:val="22"/>
                <w:szCs w:val="22"/>
              </w:rPr>
              <w:lastRenderedPageBreak/>
              <w:t>Częściowo uwzględniono poprzez zmianę brzmienia przepisu.</w:t>
            </w:r>
          </w:p>
        </w:tc>
      </w:tr>
      <w:tr w:rsidR="00B41A88" w:rsidRPr="007749DD" w14:paraId="2491E39C"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32D61B4C"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5AE20A94" w14:textId="3C1A3766"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CBCA3B0" w14:textId="35803C01"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5E71BCF7" w14:textId="48937BC7" w:rsidR="00B41A88" w:rsidRPr="0078357D" w:rsidRDefault="00B41A88" w:rsidP="00B41A88">
            <w:pPr>
              <w:spacing w:after="200"/>
              <w:contextualSpacing/>
              <w:jc w:val="both"/>
              <w:rPr>
                <w:b/>
                <w:sz w:val="22"/>
                <w:szCs w:val="22"/>
              </w:rPr>
            </w:pPr>
            <w:r w:rsidRPr="0078357D">
              <w:rPr>
                <w:b/>
                <w:sz w:val="22"/>
                <w:szCs w:val="22"/>
              </w:rPr>
              <w:t xml:space="preserve">Ad art. 8 projektu </w:t>
            </w:r>
          </w:p>
          <w:p w14:paraId="0F1BFF91" w14:textId="77777777" w:rsidR="00B41A88" w:rsidRPr="0078357D" w:rsidRDefault="00B41A88" w:rsidP="00B41A88">
            <w:pPr>
              <w:jc w:val="both"/>
              <w:rPr>
                <w:bCs/>
                <w:sz w:val="22"/>
                <w:szCs w:val="22"/>
              </w:rPr>
            </w:pPr>
            <w:r w:rsidRPr="0078357D">
              <w:rPr>
                <w:bCs/>
                <w:sz w:val="22"/>
                <w:szCs w:val="22"/>
              </w:rPr>
              <w:t xml:space="preserve">Względem art. 8 ust. 1 pkt. 4 brak jest rejestru, z którego można otrzymać wskazane w nim zaświadczenie (odnośnie czynu popełnionego na terytorium UE lub EFTA innego niż RP). Brak zatem możliwości weryfikacji. </w:t>
            </w:r>
          </w:p>
          <w:p w14:paraId="40280ADC" w14:textId="77777777" w:rsidR="00B41A88" w:rsidRPr="0078357D" w:rsidRDefault="00B41A88" w:rsidP="00B41A88">
            <w:pPr>
              <w:jc w:val="both"/>
              <w:rPr>
                <w:bCs/>
                <w:sz w:val="22"/>
                <w:szCs w:val="22"/>
              </w:rPr>
            </w:pPr>
          </w:p>
          <w:p w14:paraId="5BE05B32" w14:textId="4BDEC704" w:rsidR="00B41A88" w:rsidRPr="0078357D" w:rsidRDefault="00B41A88" w:rsidP="00B41A88">
            <w:pPr>
              <w:jc w:val="both"/>
              <w:rPr>
                <w:bCs/>
                <w:sz w:val="22"/>
                <w:szCs w:val="22"/>
              </w:rPr>
            </w:pPr>
            <w:r w:rsidRPr="0078357D">
              <w:rPr>
                <w:bCs/>
                <w:sz w:val="22"/>
                <w:szCs w:val="22"/>
              </w:rPr>
              <w:t>Jednocześnie względem art. 8 ust. 3 pkt. 3 Projektu należy zauważyć, że Projekt nie wskazuje, w jakim zakresie dane członków organu zarządzającego oraz organu nadzorczego spółki powinny zostać ujawnione w treści wniosku. W tej sytuacji, biorąc pod uwagę zasadę wyrażoną m.in. w treści art. 5 ust. 1 lit. c) RODO („minimalizacja danych”), zagadnienie to wymaga doprecyzowania w treści Projektu.</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177936" w14:textId="0E16FCFD" w:rsidR="00B41A88" w:rsidRPr="007749DD" w:rsidRDefault="003931D9" w:rsidP="004C325A">
            <w:pPr>
              <w:snapToGrid w:val="0"/>
              <w:jc w:val="both"/>
              <w:rPr>
                <w:sz w:val="22"/>
                <w:szCs w:val="22"/>
              </w:rPr>
            </w:pPr>
            <w:r w:rsidRPr="0093391D">
              <w:rPr>
                <w:b/>
                <w:bCs/>
                <w:sz w:val="22"/>
                <w:szCs w:val="22"/>
              </w:rPr>
              <w:t>Częściowo uwzględniono poprzez zmianę brzmienia przepisu.</w:t>
            </w:r>
          </w:p>
        </w:tc>
      </w:tr>
      <w:tr w:rsidR="00B41A88" w:rsidRPr="007749DD" w14:paraId="6AD98B72"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43A7E51E"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1B0D7F7A" w14:textId="629F1A08"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FE01B0C" w14:textId="138ABBB9"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54CC1D12" w14:textId="25FE89E1" w:rsidR="00B41A88" w:rsidRPr="0078357D" w:rsidRDefault="00B41A88" w:rsidP="00B41A88">
            <w:pPr>
              <w:spacing w:after="200"/>
              <w:contextualSpacing/>
              <w:jc w:val="both"/>
              <w:rPr>
                <w:b/>
                <w:sz w:val="22"/>
                <w:szCs w:val="22"/>
              </w:rPr>
            </w:pPr>
            <w:r w:rsidRPr="0078357D">
              <w:rPr>
                <w:b/>
                <w:sz w:val="22"/>
                <w:szCs w:val="22"/>
              </w:rPr>
              <w:t xml:space="preserve">Ad art. 9 projektu </w:t>
            </w:r>
          </w:p>
          <w:p w14:paraId="0B0A5A48" w14:textId="3E5B3AEA" w:rsidR="00B41A88" w:rsidRPr="0078357D" w:rsidRDefault="00B41A88" w:rsidP="00B41A88">
            <w:pPr>
              <w:jc w:val="both"/>
              <w:rPr>
                <w:bCs/>
                <w:sz w:val="22"/>
                <w:szCs w:val="22"/>
              </w:rPr>
            </w:pPr>
            <w:r w:rsidRPr="0078357D">
              <w:rPr>
                <w:bCs/>
                <w:sz w:val="22"/>
                <w:szCs w:val="22"/>
              </w:rPr>
              <w:t xml:space="preserve">Art. 9 Projektu zawiera rozwiązania trudne do racjonalnego wyjaśnienia np.: czemu podmiot, nawet ten, który sam zrezygnował z prowadzenia działalności windykacyjnej, nie będzie mógł ponownie jej podjąć. Nie jest zrozumiałym o jakich </w:t>
            </w:r>
            <w:r w:rsidRPr="0078357D">
              <w:rPr>
                <w:bCs/>
                <w:i/>
                <w:iCs/>
                <w:sz w:val="22"/>
                <w:szCs w:val="22"/>
              </w:rPr>
              <w:t>,,żądaniach sądu, prokuratora, w lub organu nadzoru”</w:t>
            </w:r>
            <w:r w:rsidRPr="0078357D">
              <w:rPr>
                <w:bCs/>
                <w:sz w:val="22"/>
                <w:szCs w:val="22"/>
              </w:rPr>
              <w:t xml:space="preserve"> mowa w art. 9 pkt. 2 lit. b. Wobec bardzo ogólnych, wręcz otwartych i niekompletnych zasad prowadzenia czynności windykacyjnych, uzależnienie cofnięcia zezwolenia (na zawsze) od ich rażącego naruszenia jest przejawem całkowitego braku pewności prawa i de facto oddaje całkowitą uznaniowość administracji. Proponowane rozwiązanie w którym trwałe cofnięcie zezwolenia następuje z bliżej niesprecyzowanego jednorazowego naruszenia stanowi naruszenie fundamentalnych zasad pewności prawa, adekwatności i proporcjonalności. </w:t>
            </w:r>
          </w:p>
          <w:p w14:paraId="27363CBF" w14:textId="77777777" w:rsidR="00B41A88" w:rsidRPr="0078357D" w:rsidRDefault="00B41A88" w:rsidP="00B41A88">
            <w:pPr>
              <w:jc w:val="both"/>
              <w:rPr>
                <w:bCs/>
                <w:sz w:val="22"/>
                <w:szCs w:val="22"/>
              </w:rPr>
            </w:pPr>
          </w:p>
          <w:p w14:paraId="037A9040" w14:textId="37E0F333" w:rsidR="00B41A88" w:rsidRPr="0078357D" w:rsidRDefault="00B41A88" w:rsidP="00B41A88">
            <w:pPr>
              <w:jc w:val="both"/>
              <w:rPr>
                <w:bCs/>
                <w:sz w:val="22"/>
                <w:szCs w:val="22"/>
              </w:rPr>
            </w:pPr>
            <w:r w:rsidRPr="0078357D">
              <w:rPr>
                <w:bCs/>
                <w:sz w:val="22"/>
                <w:szCs w:val="22"/>
              </w:rPr>
              <w:t xml:space="preserve">We wskazanej formule rygor jest dalej idący niż dla np.: zawodu detektywa. W efekcie należy po pierwsze umożliwić ponowne podjęcie działalności podmiotom, które same z niej zrezygnowały, po drugie uniemożliwić ponowne staranie o podjęcie działalności w przypadku umyślnego przestępstwa bezpośrednio związanego z wykonywaną działalnością. Prowadzenie procedury cofnięcia zezwolenia powinno odbywać się etapowo poprzez gradację konsekwencji w przypadku niewywiązania się przez firmę windykacyjną z odpowiedniego nakazu zaniechania lub podjęcia odpowiednich i precyzyjnie wskazanych czynności.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FCA884" w14:textId="0AF037A2" w:rsidR="00B41A88" w:rsidRPr="007749DD" w:rsidRDefault="003931D9" w:rsidP="004C325A">
            <w:pPr>
              <w:spacing w:line="259" w:lineRule="auto"/>
              <w:jc w:val="both"/>
            </w:pPr>
            <w:r w:rsidRPr="0093391D">
              <w:rPr>
                <w:b/>
                <w:bCs/>
                <w:sz w:val="22"/>
                <w:szCs w:val="22"/>
              </w:rPr>
              <w:t>Częściowo uwzględniono poprzez zmianę brzmienia przepisu.</w:t>
            </w:r>
          </w:p>
        </w:tc>
      </w:tr>
      <w:tr w:rsidR="00B41A88" w:rsidRPr="007749DD" w14:paraId="6BBE2368" w14:textId="77777777" w:rsidTr="00873465">
        <w:trPr>
          <w:trHeight w:val="6391"/>
          <w:jc w:val="center"/>
        </w:trPr>
        <w:tc>
          <w:tcPr>
            <w:tcW w:w="704" w:type="dxa"/>
            <w:tcBorders>
              <w:top w:val="single" w:sz="4" w:space="0" w:color="000000" w:themeColor="text1"/>
              <w:left w:val="single" w:sz="4" w:space="0" w:color="000000" w:themeColor="text1"/>
              <w:bottom w:val="single" w:sz="4" w:space="0" w:color="000000" w:themeColor="text1"/>
            </w:tcBorders>
          </w:tcPr>
          <w:p w14:paraId="28FAF3CA"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3E675AAF" w14:textId="4609C702"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 xml:space="preserve">Art. 11 </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E0EBE4C" w14:textId="4C505504"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002466DB" w14:textId="6F90DE8C" w:rsidR="00B41A88" w:rsidRPr="0078357D" w:rsidRDefault="00B41A88" w:rsidP="00B41A88">
            <w:pPr>
              <w:spacing w:after="200"/>
              <w:contextualSpacing/>
              <w:jc w:val="both"/>
              <w:rPr>
                <w:b/>
                <w:sz w:val="22"/>
                <w:szCs w:val="22"/>
              </w:rPr>
            </w:pPr>
            <w:r w:rsidRPr="0078357D">
              <w:rPr>
                <w:b/>
                <w:sz w:val="22"/>
                <w:szCs w:val="22"/>
              </w:rPr>
              <w:t xml:space="preserve">Ad art. 11 projektu </w:t>
            </w:r>
          </w:p>
          <w:p w14:paraId="5C678FEA" w14:textId="77777777" w:rsidR="00B41A88" w:rsidRPr="0078357D" w:rsidRDefault="00B41A88" w:rsidP="00B41A88">
            <w:pPr>
              <w:jc w:val="both"/>
              <w:rPr>
                <w:bCs/>
                <w:sz w:val="22"/>
                <w:szCs w:val="22"/>
              </w:rPr>
            </w:pPr>
            <w:r w:rsidRPr="0078357D">
              <w:rPr>
                <w:bCs/>
                <w:sz w:val="22"/>
                <w:szCs w:val="22"/>
              </w:rPr>
              <w:t xml:space="preserve">Względem art. 11 ust. 3 pkt 2 oraz ust. 5 Projektu należy uznać za krzywdzący całą grupę zawodową jaką będą osoby wykonujące zawód windykatora. Za krzywdzący uznać należy wymóg aby w rejestrze windykatorów, który z założenia ma być rejestrem jawnym, była umieszczana np.: fotografia windykatora czy PESEL, będący szczególną daną osobową. Obok kwestii ochrony wizerunku i konfliktu z przepisami dotyczącymi danych osobowych, należy wskazać na realne ryzyko piętnowania takich osób oraz ewentualne agresywne zachowania osób zadłużonych. W środowisku firm windykacyjnych nie należą do rzadkości przypadki, w których pracownicy tych firm są adresatami szykan, czy gróźb formułowanych przez osoby zadłużone. </w:t>
            </w:r>
          </w:p>
          <w:p w14:paraId="0C08FE98" w14:textId="77777777" w:rsidR="00B41A88" w:rsidRPr="0078357D" w:rsidRDefault="00B41A88" w:rsidP="00B41A88">
            <w:pPr>
              <w:jc w:val="both"/>
              <w:rPr>
                <w:bCs/>
                <w:sz w:val="22"/>
                <w:szCs w:val="22"/>
              </w:rPr>
            </w:pPr>
          </w:p>
          <w:p w14:paraId="501BC6FD" w14:textId="77777777" w:rsidR="00B41A88" w:rsidRPr="0078357D" w:rsidRDefault="00B41A88" w:rsidP="00B41A88">
            <w:pPr>
              <w:jc w:val="both"/>
              <w:rPr>
                <w:bCs/>
                <w:sz w:val="22"/>
                <w:szCs w:val="22"/>
              </w:rPr>
            </w:pPr>
            <w:r w:rsidRPr="0078357D">
              <w:rPr>
                <w:bCs/>
                <w:sz w:val="22"/>
                <w:szCs w:val="22"/>
              </w:rPr>
              <w:t xml:space="preserve">Rozwiązanie to jest absolutnie nieproporcjonalne, niespotykane nawet w zawodach ściśle regulowanych (np.: adwokat) i stwarza zagrożenie dla windykatorów. Ponadto w obliczu bardzo nieprecyzyjnego ujęcia tego kim jest windykator, może objąć znaczną grupę ludzi, stwarzając zagrożenie dla ich praw człowieka oraz eksponując ich na ryzyko oszustw finansowych. Stwarza to też mechanizm zniechęcający do podejmowania tego zawodu (tzw. efekt mrożący). </w:t>
            </w:r>
          </w:p>
          <w:p w14:paraId="54ADB379" w14:textId="77777777" w:rsidR="00B41A88" w:rsidRPr="0078357D" w:rsidRDefault="00B41A88" w:rsidP="00B41A88">
            <w:pPr>
              <w:jc w:val="both"/>
              <w:rPr>
                <w:bCs/>
                <w:sz w:val="22"/>
                <w:szCs w:val="22"/>
              </w:rPr>
            </w:pPr>
          </w:p>
          <w:p w14:paraId="36A73177" w14:textId="54CE614C" w:rsidR="00B41A88" w:rsidRPr="0078357D" w:rsidRDefault="00B41A88" w:rsidP="00B41A88">
            <w:pPr>
              <w:jc w:val="both"/>
              <w:rPr>
                <w:bCs/>
                <w:sz w:val="22"/>
                <w:szCs w:val="22"/>
              </w:rPr>
            </w:pPr>
            <w:r w:rsidRPr="0078357D">
              <w:rPr>
                <w:bCs/>
                <w:sz w:val="22"/>
                <w:szCs w:val="22"/>
              </w:rPr>
              <w:t xml:space="preserve">Zatem nie tylko należy usunąć z rejestru dane dot. wizerunku i PESEL, ale również wskazać jasne przesłanki dostępu do Rejestru np.: w przypadku wykazania prowadzenia wobec osoby zadłużonej windykacji lub też w przypadku wykazania interesu prawnego. To rozwiązania o charakterze minimalnym i niezbędnym. Powstaje jednakże pytanie czy koniecznym jest w ogóle tworzenie rejestru windykatorów wobec tego, że każda osoba zainteresowana może z łatwością sprawdzić umocowanie windykatora poprzez kontakt z przedsiębiorstwem lub okazanie legitymacji.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21837D" w14:textId="6D89C14C" w:rsidR="00B41A88" w:rsidRPr="007749DD" w:rsidRDefault="003931D9" w:rsidP="004C325A">
            <w:pPr>
              <w:snapToGrid w:val="0"/>
              <w:jc w:val="both"/>
              <w:rPr>
                <w:sz w:val="22"/>
                <w:szCs w:val="22"/>
              </w:rPr>
            </w:pPr>
            <w:r w:rsidRPr="0093391D">
              <w:rPr>
                <w:b/>
                <w:bCs/>
                <w:sz w:val="22"/>
                <w:szCs w:val="22"/>
              </w:rPr>
              <w:t>Częściowo uwzględniono poprzez zmianę brzmienia przepisu.</w:t>
            </w:r>
          </w:p>
        </w:tc>
      </w:tr>
      <w:tr w:rsidR="00B41A88" w:rsidRPr="007749DD" w14:paraId="3C50182E"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1C435F8E"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5FB58B8C" w14:textId="07A3DAAF"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13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2B76634" w14:textId="40DA45C2"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62D0D3CA" w14:textId="4140A3FC" w:rsidR="00B41A88" w:rsidRPr="0078357D" w:rsidRDefault="00B41A88" w:rsidP="00B41A88">
            <w:pPr>
              <w:spacing w:after="200"/>
              <w:contextualSpacing/>
              <w:jc w:val="both"/>
              <w:rPr>
                <w:b/>
                <w:sz w:val="22"/>
                <w:szCs w:val="22"/>
              </w:rPr>
            </w:pPr>
            <w:r w:rsidRPr="0078357D">
              <w:rPr>
                <w:b/>
                <w:sz w:val="22"/>
                <w:szCs w:val="22"/>
              </w:rPr>
              <w:t xml:space="preserve">Ad art. 13 projektu </w:t>
            </w:r>
          </w:p>
          <w:p w14:paraId="3B5BD62B" w14:textId="3AD8EBC4" w:rsidR="00B41A88" w:rsidRPr="0078357D" w:rsidRDefault="00B41A88" w:rsidP="00B41A88">
            <w:pPr>
              <w:spacing w:after="200"/>
              <w:contextualSpacing/>
              <w:jc w:val="both"/>
              <w:rPr>
                <w:bCs/>
                <w:sz w:val="22"/>
                <w:szCs w:val="22"/>
              </w:rPr>
            </w:pPr>
            <w:r w:rsidRPr="0078357D">
              <w:rPr>
                <w:bCs/>
                <w:sz w:val="22"/>
                <w:szCs w:val="22"/>
              </w:rPr>
              <w:t xml:space="preserve">Względem art. 13 ust. 1 pkt. 4 należy wskazać, iż potwierdzanie nieposzlakowanej opinii wywiadem środowiskowym sporządzonym na zlecenie komendanta powiatowego dla miejsca zamieszkania osoby ubiegającej się o licencję windykatora jest rozwiązaniem archaicznym wobec wysokiej mobilności ludzi, tego, że ludzie często nie znają się w miejscu swojego zamieszkania itp. Wymóg jest również nierzetelny np.: brak informacji co do terminu wywiadu albo jego zakresu. Taki wymóg w stosunku do osoby wykonującej windykację – zwłaszcza wobec jej szerokiego ujęcia w Projekcie – jest wyłącznie obciążeniem biurokratycznym. Wymóg ten, jeśli ma znajdować się w Projekcie, może być zrealizowany poprzez proste i odformalizowane odpytanie z Krajowego Rejestru Karnego. </w:t>
            </w:r>
          </w:p>
          <w:p w14:paraId="4D340AE2" w14:textId="77777777" w:rsidR="00B41A88" w:rsidRPr="0078357D" w:rsidRDefault="00B41A88" w:rsidP="00B41A88">
            <w:pPr>
              <w:jc w:val="both"/>
              <w:rPr>
                <w:bCs/>
                <w:sz w:val="22"/>
                <w:szCs w:val="22"/>
              </w:rPr>
            </w:pPr>
          </w:p>
          <w:p w14:paraId="60926315" w14:textId="77777777" w:rsidR="00B41A88" w:rsidRPr="0078357D" w:rsidRDefault="00B41A88" w:rsidP="00B41A88">
            <w:pPr>
              <w:jc w:val="both"/>
              <w:rPr>
                <w:bCs/>
                <w:sz w:val="22"/>
                <w:szCs w:val="22"/>
              </w:rPr>
            </w:pPr>
            <w:r w:rsidRPr="0078357D">
              <w:rPr>
                <w:bCs/>
                <w:sz w:val="22"/>
                <w:szCs w:val="22"/>
              </w:rPr>
              <w:t xml:space="preserve">Za niezrozumiałe należy uznać inne wymogi wskazane w art. 13 ust. 1 Projektu: brak wpisu do rejestru dłużników niewypłacalnych Krajowego Rejestru Sądowego czy ujawnienia w Krajowym Rejestrze Zadłużonych oraz wymóg ukończenia 24 lat. Wymóg </w:t>
            </w:r>
            <w:r w:rsidRPr="0078357D">
              <w:rPr>
                <w:bCs/>
                <w:sz w:val="22"/>
                <w:szCs w:val="22"/>
              </w:rPr>
              <w:lastRenderedPageBreak/>
              <w:t xml:space="preserve">badań psychologicznych i lekarskich nie tylko sytuuje zawód windykatora wśród najbardziej regulowanych zawodów (np.: jest to większy wymóg niż dla adwokata), ale również może prowadzić do dyskryminacji osób posiadających przejściowe problemy zdrowotne, w tym psychiczne, które w żaden sposób nie wpływają na możliwość wykonywania zawodu. Ponadto prowadzi do zbędnego gromadzenia danych wrażliwych przez przedsiębiorców. </w:t>
            </w:r>
          </w:p>
          <w:p w14:paraId="6AEFF471" w14:textId="77777777" w:rsidR="00B41A88" w:rsidRPr="0078357D" w:rsidRDefault="00B41A88" w:rsidP="00B41A88">
            <w:pPr>
              <w:jc w:val="both"/>
              <w:rPr>
                <w:bCs/>
                <w:sz w:val="22"/>
                <w:szCs w:val="22"/>
              </w:rPr>
            </w:pPr>
          </w:p>
          <w:p w14:paraId="12818EC3" w14:textId="77777777" w:rsidR="00B41A88" w:rsidRPr="0078357D" w:rsidRDefault="00B41A88" w:rsidP="00B41A88">
            <w:pPr>
              <w:jc w:val="both"/>
              <w:rPr>
                <w:bCs/>
                <w:sz w:val="22"/>
                <w:szCs w:val="22"/>
              </w:rPr>
            </w:pPr>
            <w:r w:rsidRPr="0078357D">
              <w:rPr>
                <w:bCs/>
                <w:sz w:val="22"/>
                <w:szCs w:val="22"/>
              </w:rPr>
              <w:t xml:space="preserve">Wymóg ukończenia prowadzonego przez szkołę wyższą kurs specjalistycznego z zakresu prawa jest zwyczajnie zbędny z perspektywy działań podejmowanych przez windykatora, zwłaszcza w tak szerokim, wręcz technicznym ujęciu jakie jest w Projekcie. Windykator nie potrzebuje kompleksowej i akademickiej wiedzy z zakresu wskazanych dziedzin prawa (zwłaszcza np.: procedury karnej) równej niemal zawodom prawniczym, lecz precyzyjnego przeszkolenia, tak z niezbędnych podstaw prawa, jak i zasad etyki. Szkolenie to może być zapewniane przez same firmy windykacyjne. </w:t>
            </w:r>
          </w:p>
          <w:p w14:paraId="0F4E7E1F" w14:textId="77777777" w:rsidR="00B41A88" w:rsidRPr="0078357D" w:rsidRDefault="00B41A88" w:rsidP="00B41A88">
            <w:pPr>
              <w:jc w:val="both"/>
              <w:rPr>
                <w:bCs/>
                <w:sz w:val="22"/>
                <w:szCs w:val="22"/>
              </w:rPr>
            </w:pPr>
          </w:p>
          <w:p w14:paraId="51493657" w14:textId="77777777" w:rsidR="00B41A88" w:rsidRPr="0078357D" w:rsidRDefault="00B41A88" w:rsidP="00B41A88">
            <w:pPr>
              <w:jc w:val="both"/>
              <w:rPr>
                <w:bCs/>
                <w:sz w:val="22"/>
                <w:szCs w:val="22"/>
              </w:rPr>
            </w:pPr>
            <w:r w:rsidRPr="0078357D">
              <w:rPr>
                <w:bCs/>
                <w:sz w:val="22"/>
                <w:szCs w:val="22"/>
              </w:rPr>
              <w:t xml:space="preserve">Wskazane wymagania, zwłaszcza w połączeniu z brakiem precyzji tego kto jest windykatorem na gruncie Projektu, sprawiają, że zawód windykatora byłby zawodem ściśle regulowanym, częściowo lub ogólnie w stopniu wyższym niż np. zawody związane z wymiarem sprawiedliwości, zawód detektywa czy pośrednika kredytowego. Skutki takich nieproporcjonalnych rozwiązań przełożą się wprost na wyższe ceny usług, zwolnienia w sektorze oraz gorsze możliwości dochodzenia swoich należności m.in. przez MŚP. W perspektywie jest to również jedno z tych rozwiązań Projektu, które w ogóle wpłynie na przekierowanie części spraw wprost na drogę sądową, tym samym zwiększając zatory płatnicze. Podobne nieproporcjonalne rozwiązania mają swoje koszty (o czym Projekt milczy). </w:t>
            </w:r>
          </w:p>
          <w:p w14:paraId="00B68199" w14:textId="77777777" w:rsidR="00B41A88" w:rsidRPr="0078357D" w:rsidRDefault="00B41A88" w:rsidP="00B41A88">
            <w:pPr>
              <w:jc w:val="both"/>
              <w:rPr>
                <w:bCs/>
                <w:sz w:val="22"/>
                <w:szCs w:val="22"/>
              </w:rPr>
            </w:pPr>
          </w:p>
          <w:p w14:paraId="60D8CBC1" w14:textId="33352ADD" w:rsidR="00B41A88" w:rsidRPr="0078357D" w:rsidRDefault="00B41A88" w:rsidP="00B41A88">
            <w:pPr>
              <w:jc w:val="both"/>
              <w:rPr>
                <w:bCs/>
                <w:sz w:val="22"/>
                <w:szCs w:val="22"/>
              </w:rPr>
            </w:pPr>
            <w:r w:rsidRPr="0078357D">
              <w:rPr>
                <w:bCs/>
                <w:sz w:val="22"/>
                <w:szCs w:val="22"/>
              </w:rPr>
              <w:t>Ponadto należy wskazać, iż projektowany przepis jest dyskryminujący dla Ukraińców i Ukrainek pracujących w Polsce. Zgodnie z art. 13 ust. 1 pkt. 1 Projektu o licencję windykatora może ubiegać się osoba, która ma obywatelstwo państwa członkowskiego Unii Europejskiej lub państwa członkowskiego Europejskiego Porozumienia o Wolnym Handlu (EFTA) – strony umowy o Europejskim Obszarze Gospodarczym. Tym samym Projekt wyklucza Ukraińców i Ukrainki pracujących obecnie w charakterze windykatorów i odbiera im zatrudnienie. Biorąc pod uwagę szczególną sytuację międzynarodową związaną z inwazją Rosji na Ukrainę oraz jej możliwe długofalowe skutki, konieczne jest rozszerzenie art. 13 ust. 1 pkt. 1 Projektu przede wszystkim o osoby posiadające obywatelstwo Ukrainy.</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0D9668" w14:textId="4220C2C2" w:rsidR="00B41A88" w:rsidRPr="007749DD" w:rsidRDefault="003931D9" w:rsidP="004C325A">
            <w:pPr>
              <w:snapToGrid w:val="0"/>
              <w:jc w:val="both"/>
              <w:rPr>
                <w:sz w:val="22"/>
                <w:szCs w:val="22"/>
              </w:rPr>
            </w:pPr>
            <w:r w:rsidRPr="0093391D">
              <w:rPr>
                <w:b/>
                <w:bCs/>
                <w:sz w:val="22"/>
                <w:szCs w:val="22"/>
              </w:rPr>
              <w:lastRenderedPageBreak/>
              <w:t>Częściowo uwzględniono poprzez zmianę brzmienia przepisu.</w:t>
            </w:r>
          </w:p>
        </w:tc>
      </w:tr>
      <w:tr w:rsidR="00B41A88" w:rsidRPr="007749DD" w14:paraId="7E06BE70" w14:textId="77777777" w:rsidTr="00873465">
        <w:trPr>
          <w:trHeight w:val="586"/>
          <w:jc w:val="center"/>
        </w:trPr>
        <w:tc>
          <w:tcPr>
            <w:tcW w:w="704" w:type="dxa"/>
            <w:tcBorders>
              <w:top w:val="single" w:sz="4" w:space="0" w:color="000000" w:themeColor="text1"/>
              <w:left w:val="single" w:sz="4" w:space="0" w:color="000000" w:themeColor="text1"/>
              <w:bottom w:val="single" w:sz="4" w:space="0" w:color="000000" w:themeColor="text1"/>
            </w:tcBorders>
          </w:tcPr>
          <w:p w14:paraId="3B9702C6"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2B5248B0" w14:textId="72D9FBEC"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14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EBB4ADA" w14:textId="10B2EC03"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21F56653" w14:textId="23CC019A" w:rsidR="00B41A88" w:rsidRPr="0078357D" w:rsidRDefault="00B41A88" w:rsidP="00B41A88">
            <w:pPr>
              <w:spacing w:after="200"/>
              <w:contextualSpacing/>
              <w:jc w:val="both"/>
              <w:rPr>
                <w:b/>
                <w:sz w:val="22"/>
                <w:szCs w:val="22"/>
              </w:rPr>
            </w:pPr>
            <w:r w:rsidRPr="0078357D">
              <w:rPr>
                <w:b/>
                <w:sz w:val="22"/>
                <w:szCs w:val="22"/>
              </w:rPr>
              <w:t xml:space="preserve">Ad art. 14 projektu </w:t>
            </w:r>
          </w:p>
          <w:p w14:paraId="4233488A" w14:textId="1EBB9108" w:rsidR="00B41A88" w:rsidRPr="0078357D" w:rsidRDefault="00B41A88" w:rsidP="00B41A88">
            <w:pPr>
              <w:jc w:val="both"/>
              <w:rPr>
                <w:bCs/>
                <w:sz w:val="22"/>
                <w:szCs w:val="22"/>
              </w:rPr>
            </w:pPr>
            <w:r w:rsidRPr="0078357D">
              <w:rPr>
                <w:bCs/>
                <w:sz w:val="22"/>
                <w:szCs w:val="22"/>
              </w:rPr>
              <w:t xml:space="preserve">Nie sprecyzowano zasad wydania licencji np.: terminu na jej wydanie.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72AA94" w14:textId="6E0C25F0" w:rsidR="00B41A88" w:rsidRPr="003931D9" w:rsidRDefault="003931D9" w:rsidP="004C325A">
            <w:pPr>
              <w:snapToGrid w:val="0"/>
              <w:jc w:val="both"/>
              <w:rPr>
                <w:b/>
                <w:bCs/>
                <w:sz w:val="22"/>
                <w:szCs w:val="22"/>
              </w:rPr>
            </w:pPr>
            <w:r w:rsidRPr="003931D9">
              <w:rPr>
                <w:b/>
                <w:bCs/>
                <w:sz w:val="22"/>
                <w:szCs w:val="22"/>
              </w:rPr>
              <w:t>Nie uwzględniono.</w:t>
            </w:r>
            <w:r>
              <w:rPr>
                <w:b/>
                <w:bCs/>
                <w:sz w:val="22"/>
                <w:szCs w:val="22"/>
              </w:rPr>
              <w:t xml:space="preserve"> W zakresie nieuregulowanym w ustawie w tego typu sprawach zastosowanie znajduje ustawa </w:t>
            </w:r>
            <w:r>
              <w:rPr>
                <w:b/>
                <w:bCs/>
                <w:sz w:val="22"/>
                <w:szCs w:val="22"/>
              </w:rPr>
              <w:lastRenderedPageBreak/>
              <w:t>- Kodeks postępowania administracyjnego.</w:t>
            </w:r>
          </w:p>
        </w:tc>
      </w:tr>
      <w:tr w:rsidR="00B41A88" w:rsidRPr="007749DD" w14:paraId="37F9B52E"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440C876C"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2FB41DD1" w14:textId="564E50D0"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15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BE89DC3" w14:textId="3B14DBF9"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63103D20" w14:textId="1C6DBFB4" w:rsidR="00B41A88" w:rsidRPr="0078357D" w:rsidRDefault="00B41A88" w:rsidP="00B41A88">
            <w:pPr>
              <w:spacing w:after="200"/>
              <w:contextualSpacing/>
              <w:jc w:val="both"/>
              <w:rPr>
                <w:b/>
                <w:sz w:val="22"/>
                <w:szCs w:val="22"/>
              </w:rPr>
            </w:pPr>
            <w:r w:rsidRPr="0078357D">
              <w:rPr>
                <w:b/>
                <w:sz w:val="22"/>
                <w:szCs w:val="22"/>
              </w:rPr>
              <w:t xml:space="preserve">Ad art. 15 projektu </w:t>
            </w:r>
          </w:p>
          <w:p w14:paraId="15F91C95" w14:textId="256B190D" w:rsidR="00B41A88" w:rsidRPr="0078357D" w:rsidRDefault="00B41A88" w:rsidP="00B41A88">
            <w:pPr>
              <w:jc w:val="both"/>
              <w:rPr>
                <w:bCs/>
                <w:sz w:val="22"/>
                <w:szCs w:val="22"/>
              </w:rPr>
            </w:pPr>
            <w:r w:rsidRPr="0078357D">
              <w:rPr>
                <w:bCs/>
                <w:sz w:val="22"/>
                <w:szCs w:val="22"/>
              </w:rPr>
              <w:t xml:space="preserve">Względem art. 15 ust. 3 i ust. 4 Projektu nie jest zrozumiałym czemu licencja ma obowiązywać wyłącznie na okres 4-letni i być obciążona opłatą w wysokości aż 50% przeciętnego miesięcznego wynagrodzenia. Projektodawca tworzy radykalne wymogi jej uzyskania, równie radykalne i nieprecyzyjne wymogi jej utrzymania, a dodatkowo czyni ją krótkoterminową. Rozwiązania takie mają charakter wyłącznie fiskalny i zniechęcający do podjęcia zawodu, w tym faworyzujący osoby o lepszej sytuacji życiowej (obniżenie mobilności społecznej). Licencja powinna być przyznawana na okres bezterminowy, a opłata proporcjonalna i jednorazowa względem tego czego dotyczy tj. wynosić mniej więcej 450-500 zł.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CA3256" w14:textId="2B39FFDD" w:rsidR="00B41A88" w:rsidRPr="007749DD" w:rsidRDefault="003931D9" w:rsidP="004C325A">
            <w:pPr>
              <w:snapToGrid w:val="0"/>
              <w:jc w:val="both"/>
              <w:rPr>
                <w:sz w:val="22"/>
                <w:szCs w:val="22"/>
              </w:rPr>
            </w:pPr>
            <w:r w:rsidRPr="0093391D">
              <w:rPr>
                <w:b/>
                <w:bCs/>
                <w:sz w:val="22"/>
                <w:szCs w:val="22"/>
              </w:rPr>
              <w:t>Częściowo uwzględniono poprzez zmianę brzmienia przepisu.</w:t>
            </w:r>
          </w:p>
        </w:tc>
      </w:tr>
      <w:tr w:rsidR="00B41A88" w:rsidRPr="007749DD" w14:paraId="3DA94D4A"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0152A10C"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59F8F9E9" w14:textId="451EAA7E"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16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F985476" w14:textId="2A47B1BB"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1CB79602" w14:textId="5D8518FE" w:rsidR="00B41A88" w:rsidRPr="0078357D" w:rsidRDefault="00B41A88" w:rsidP="00B41A88">
            <w:pPr>
              <w:spacing w:after="200"/>
              <w:contextualSpacing/>
              <w:jc w:val="both"/>
              <w:rPr>
                <w:b/>
                <w:sz w:val="22"/>
                <w:szCs w:val="22"/>
              </w:rPr>
            </w:pPr>
            <w:r w:rsidRPr="0078357D">
              <w:rPr>
                <w:b/>
                <w:sz w:val="22"/>
                <w:szCs w:val="22"/>
              </w:rPr>
              <w:t xml:space="preserve">Ad art. 16 projektu </w:t>
            </w:r>
          </w:p>
          <w:p w14:paraId="4B84E870" w14:textId="77777777" w:rsidR="00B41A88" w:rsidRPr="0078357D" w:rsidRDefault="00B41A88" w:rsidP="00B41A88">
            <w:pPr>
              <w:jc w:val="both"/>
              <w:rPr>
                <w:bCs/>
                <w:sz w:val="22"/>
                <w:szCs w:val="22"/>
              </w:rPr>
            </w:pPr>
            <w:r w:rsidRPr="0078357D">
              <w:rPr>
                <w:bCs/>
                <w:sz w:val="22"/>
                <w:szCs w:val="22"/>
              </w:rPr>
              <w:t xml:space="preserve">Względem art. 16 ust. 2 Projektu wskazać należy, że nie ma żadnego powodu dla którego wskazany termin miałby wynosić 90 dni, a nie na przykład 40 dni. Skąd zatem proponowane ograniczenie biurokratyczne w tym, a nie mniejszym zakresie? </w:t>
            </w:r>
          </w:p>
          <w:p w14:paraId="44D5F1B8" w14:textId="77777777" w:rsidR="00B41A88" w:rsidRPr="0078357D" w:rsidRDefault="00B41A88" w:rsidP="00B41A88">
            <w:pPr>
              <w:jc w:val="both"/>
              <w:rPr>
                <w:bCs/>
                <w:sz w:val="22"/>
                <w:szCs w:val="22"/>
              </w:rPr>
            </w:pPr>
          </w:p>
          <w:p w14:paraId="51ECF8A0" w14:textId="016130A7" w:rsidR="00B41A88" w:rsidRPr="0078357D" w:rsidRDefault="00B41A88" w:rsidP="00B41A88">
            <w:pPr>
              <w:jc w:val="both"/>
              <w:rPr>
                <w:bCs/>
                <w:sz w:val="22"/>
                <w:szCs w:val="22"/>
              </w:rPr>
            </w:pPr>
            <w:r w:rsidRPr="0078357D">
              <w:rPr>
                <w:bCs/>
                <w:sz w:val="22"/>
                <w:szCs w:val="22"/>
              </w:rPr>
              <w:t xml:space="preserve">Względem art. 16 ust. 4 należy wskazać, iż kolejnym przejawem fiskalizmu jest stosowanie tych samych opłat do przedłużenia licencji, jak i do jej uzyskania. Koszt ten powinien wynosić maksymalnie 40% kosztu uzyskania licencji w przypadku utrzymania okresowości licencji.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69BD00" w14:textId="77777777" w:rsidR="00B41A88" w:rsidRPr="004C325A" w:rsidRDefault="004C325A" w:rsidP="004C325A">
            <w:pPr>
              <w:snapToGrid w:val="0"/>
              <w:jc w:val="both"/>
              <w:rPr>
                <w:b/>
                <w:bCs/>
                <w:sz w:val="22"/>
                <w:szCs w:val="22"/>
              </w:rPr>
            </w:pPr>
            <w:r w:rsidRPr="004C325A">
              <w:rPr>
                <w:b/>
                <w:bCs/>
                <w:sz w:val="22"/>
                <w:szCs w:val="22"/>
              </w:rPr>
              <w:t>Nie uwzględniono.</w:t>
            </w:r>
          </w:p>
          <w:p w14:paraId="0B0AF017" w14:textId="47FBDD98" w:rsidR="004C325A" w:rsidRPr="007749DD" w:rsidRDefault="004C325A" w:rsidP="004C325A">
            <w:pPr>
              <w:snapToGrid w:val="0"/>
              <w:jc w:val="both"/>
              <w:rPr>
                <w:sz w:val="22"/>
                <w:szCs w:val="22"/>
              </w:rPr>
            </w:pPr>
            <w:r>
              <w:rPr>
                <w:sz w:val="22"/>
                <w:szCs w:val="22"/>
              </w:rPr>
              <w:t>Określenie k</w:t>
            </w:r>
            <w:r w:rsidR="007434B7">
              <w:rPr>
                <w:sz w:val="22"/>
                <w:szCs w:val="22"/>
              </w:rPr>
              <w:t>r</w:t>
            </w:r>
            <w:r>
              <w:rPr>
                <w:sz w:val="22"/>
                <w:szCs w:val="22"/>
              </w:rPr>
              <w:t>ótszego terminu mogłoby spowodować nadmierne i nieuzasadnione obciążenie urzędów wojewódzkich wykonujących zadania w tym zakresie.</w:t>
            </w:r>
          </w:p>
        </w:tc>
      </w:tr>
      <w:tr w:rsidR="00B41A88" w:rsidRPr="007749DD" w14:paraId="50B00A2E" w14:textId="77777777" w:rsidTr="00873465">
        <w:trPr>
          <w:trHeight w:val="721"/>
          <w:jc w:val="center"/>
        </w:trPr>
        <w:tc>
          <w:tcPr>
            <w:tcW w:w="704" w:type="dxa"/>
            <w:tcBorders>
              <w:top w:val="single" w:sz="4" w:space="0" w:color="000000" w:themeColor="text1"/>
              <w:left w:val="single" w:sz="4" w:space="0" w:color="000000" w:themeColor="text1"/>
              <w:bottom w:val="single" w:sz="4" w:space="0" w:color="000000" w:themeColor="text1"/>
            </w:tcBorders>
          </w:tcPr>
          <w:p w14:paraId="720AFD8F"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2AAE4A57" w14:textId="33605313" w:rsidR="00B41A88" w:rsidRPr="00AC64BA" w:rsidRDefault="00B41A88" w:rsidP="00B41A88">
            <w:pPr>
              <w:suppressAutoHyphens w:val="0"/>
              <w:autoSpaceDE w:val="0"/>
              <w:autoSpaceDN w:val="0"/>
              <w:adjustRightInd w:val="0"/>
              <w:jc w:val="both"/>
              <w:rPr>
                <w:sz w:val="22"/>
                <w:szCs w:val="22"/>
                <w:lang w:eastAsia="pl-PL"/>
              </w:rPr>
            </w:pPr>
            <w:r w:rsidRPr="00AC64BA">
              <w:rPr>
                <w:bCs/>
                <w:sz w:val="22"/>
                <w:szCs w:val="22"/>
              </w:rPr>
              <w:t>Art. 17</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B66BAF4" w14:textId="1B7A1758"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115FC883" w14:textId="7832DDAC" w:rsidR="00B41A88" w:rsidRPr="0078357D" w:rsidRDefault="00B41A88" w:rsidP="00B41A88">
            <w:pPr>
              <w:spacing w:after="200"/>
              <w:contextualSpacing/>
              <w:jc w:val="both"/>
              <w:rPr>
                <w:b/>
                <w:sz w:val="22"/>
                <w:szCs w:val="22"/>
              </w:rPr>
            </w:pPr>
            <w:r w:rsidRPr="0078357D">
              <w:rPr>
                <w:b/>
                <w:sz w:val="22"/>
                <w:szCs w:val="22"/>
              </w:rPr>
              <w:t xml:space="preserve">Ad art. 17 projektu </w:t>
            </w:r>
          </w:p>
          <w:p w14:paraId="018A9B56" w14:textId="77777777" w:rsidR="00B41A88" w:rsidRPr="0078357D" w:rsidRDefault="00B41A88" w:rsidP="00B41A88">
            <w:pPr>
              <w:jc w:val="both"/>
              <w:rPr>
                <w:bCs/>
                <w:sz w:val="22"/>
                <w:szCs w:val="22"/>
              </w:rPr>
            </w:pPr>
            <w:r w:rsidRPr="0078357D">
              <w:rPr>
                <w:bCs/>
                <w:sz w:val="22"/>
                <w:szCs w:val="22"/>
              </w:rPr>
              <w:t xml:space="preserve">Względem art. 17 ust. 1 należy wskazać, że nie jest jasne czy o każdym wszczęciu postępowania należałoby zawiadamiać wojewodę. Gdyby taki obowiązek powstawał, rodziłby kolejne koszty. Względem art. 17 ust. 1 pkt. 4 Projektu należy powtórzyć analogiczne zarzuty jak wobec art. 9 pkt. 2 lit. c Projektu. </w:t>
            </w:r>
          </w:p>
          <w:p w14:paraId="3D75D35C" w14:textId="77777777" w:rsidR="00B41A88" w:rsidRPr="0078357D" w:rsidRDefault="00B41A88" w:rsidP="00B41A88">
            <w:pPr>
              <w:jc w:val="both"/>
              <w:rPr>
                <w:bCs/>
                <w:sz w:val="22"/>
                <w:szCs w:val="22"/>
              </w:rPr>
            </w:pPr>
          </w:p>
          <w:p w14:paraId="6C3A5533" w14:textId="77777777" w:rsidR="00B41A88" w:rsidRPr="0078357D" w:rsidRDefault="00B41A88" w:rsidP="00B41A88">
            <w:pPr>
              <w:jc w:val="both"/>
              <w:rPr>
                <w:bCs/>
                <w:sz w:val="22"/>
                <w:szCs w:val="22"/>
              </w:rPr>
            </w:pPr>
            <w:r w:rsidRPr="0078357D">
              <w:rPr>
                <w:bCs/>
                <w:sz w:val="22"/>
                <w:szCs w:val="22"/>
              </w:rPr>
              <w:t xml:space="preserve">Względem art. 17 ust. 2 Projektu należy wskazać, iż wszczęcie przeciwko </w:t>
            </w:r>
            <w:proofErr w:type="spellStart"/>
            <w:r w:rsidRPr="0078357D">
              <w:rPr>
                <w:bCs/>
                <w:sz w:val="22"/>
                <w:szCs w:val="22"/>
              </w:rPr>
              <w:t>windykatorowi</w:t>
            </w:r>
            <w:proofErr w:type="spellEnd"/>
            <w:r w:rsidRPr="0078357D">
              <w:rPr>
                <w:bCs/>
                <w:sz w:val="22"/>
                <w:szCs w:val="22"/>
              </w:rPr>
              <w:t xml:space="preserve"> postępowania karnego o umyślne przestępstwo lub umyślne przestępstwo skarbowe nie musi świadczyć o czymkolwiek negatywnym gdyż sam fakt wszczęcia postępowania nie mówi nic o cudzej etyce, o tym czy dokonał przestępstwa. Łatwo sobie również wyobrazić możliwe nadużycia z tym związane, zwłaszcza, że takie rozwiązanie pozbawiałoby człowieka pracy i środków do życia w sposób automatyczny oraz na miesiące bądź nawet lata. Zasada także sprzeciwia się fundamentom państwa prawa jak domniemanie niewinności. </w:t>
            </w:r>
          </w:p>
          <w:p w14:paraId="2F1F0A31" w14:textId="4270D8C6" w:rsidR="00B41A88" w:rsidRPr="0078357D" w:rsidRDefault="00B41A88" w:rsidP="00B41A88">
            <w:pPr>
              <w:jc w:val="both"/>
              <w:rPr>
                <w:bCs/>
                <w:sz w:val="22"/>
                <w:szCs w:val="22"/>
              </w:rPr>
            </w:pPr>
            <w:r w:rsidRPr="0078357D">
              <w:rPr>
                <w:bCs/>
                <w:sz w:val="22"/>
                <w:szCs w:val="22"/>
              </w:rPr>
              <w:t xml:space="preserve">Podobne uwagi należy poczynić względem art. 17 ust. 3 Projektu oraz dodać, że decyzja w tym przedmiocie zostaje powierzona w sposób arbitralny wojewodzie: bez żadnych gwarancji, bez żadnych standardów, bez żadnych zasad.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D6D4D6" w14:textId="7F9B62D7" w:rsidR="00B41A88" w:rsidRPr="00612AD8" w:rsidRDefault="00EF4C00" w:rsidP="00B41A88">
            <w:pPr>
              <w:snapToGrid w:val="0"/>
              <w:rPr>
                <w:b/>
                <w:bCs/>
                <w:sz w:val="22"/>
                <w:szCs w:val="22"/>
              </w:rPr>
            </w:pPr>
            <w:r w:rsidRPr="0093391D">
              <w:rPr>
                <w:b/>
                <w:sz w:val="22"/>
                <w:szCs w:val="22"/>
              </w:rPr>
              <w:t>Nie uwzględniono ze względu na ogólny charakter uwag</w:t>
            </w:r>
            <w:r>
              <w:rPr>
                <w:b/>
                <w:sz w:val="22"/>
                <w:szCs w:val="22"/>
              </w:rPr>
              <w:t>.</w:t>
            </w:r>
          </w:p>
        </w:tc>
      </w:tr>
      <w:tr w:rsidR="00B41A88" w:rsidRPr="007749DD" w14:paraId="5CE06202" w14:textId="77777777" w:rsidTr="00873465">
        <w:trPr>
          <w:trHeight w:val="1430"/>
          <w:jc w:val="center"/>
        </w:trPr>
        <w:tc>
          <w:tcPr>
            <w:tcW w:w="704" w:type="dxa"/>
            <w:tcBorders>
              <w:top w:val="single" w:sz="4" w:space="0" w:color="000000" w:themeColor="text1"/>
              <w:left w:val="single" w:sz="4" w:space="0" w:color="000000" w:themeColor="text1"/>
              <w:bottom w:val="single" w:sz="4" w:space="0" w:color="000000" w:themeColor="text1"/>
            </w:tcBorders>
          </w:tcPr>
          <w:p w14:paraId="21F0D9D2"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2FE112E6" w14:textId="619481E2" w:rsidR="00B41A88" w:rsidRPr="00AC64BA" w:rsidRDefault="00B41A88" w:rsidP="00B41A88">
            <w:pPr>
              <w:suppressAutoHyphens w:val="0"/>
              <w:autoSpaceDE w:val="0"/>
              <w:autoSpaceDN w:val="0"/>
              <w:adjustRightInd w:val="0"/>
              <w:jc w:val="both"/>
              <w:rPr>
                <w:sz w:val="22"/>
                <w:szCs w:val="22"/>
                <w:lang w:eastAsia="pl-PL"/>
              </w:rPr>
            </w:pPr>
            <w:r w:rsidRPr="00AC64BA">
              <w:rPr>
                <w:bCs/>
                <w:sz w:val="22"/>
                <w:szCs w:val="22"/>
              </w:rPr>
              <w:t>Art. 19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89ED193" w14:textId="35DE5E97"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1947A9B3" w14:textId="6125349F" w:rsidR="00B41A88" w:rsidRPr="0078357D" w:rsidRDefault="00B41A88" w:rsidP="00B41A88">
            <w:pPr>
              <w:spacing w:after="200"/>
              <w:contextualSpacing/>
              <w:jc w:val="both"/>
              <w:rPr>
                <w:b/>
                <w:sz w:val="22"/>
                <w:szCs w:val="22"/>
              </w:rPr>
            </w:pPr>
            <w:r w:rsidRPr="0078357D">
              <w:rPr>
                <w:b/>
                <w:sz w:val="22"/>
                <w:szCs w:val="22"/>
              </w:rPr>
              <w:t xml:space="preserve">Ad art. 19 projektu </w:t>
            </w:r>
          </w:p>
          <w:p w14:paraId="2FDAF44E" w14:textId="7F2F804F" w:rsidR="00B41A88" w:rsidRPr="0078357D" w:rsidRDefault="00B41A88" w:rsidP="00B41A88">
            <w:pPr>
              <w:jc w:val="both"/>
              <w:rPr>
                <w:bCs/>
                <w:sz w:val="22"/>
                <w:szCs w:val="22"/>
              </w:rPr>
            </w:pPr>
            <w:r w:rsidRPr="0078357D">
              <w:rPr>
                <w:bCs/>
                <w:sz w:val="22"/>
                <w:szCs w:val="22"/>
              </w:rPr>
              <w:t xml:space="preserve">Art. 19 pkt. 2 Projektu jest dowodem na to, iż Projekt w sposób nieprzemyślany traktuje na równi windykację terenową, online, czy telefoniczną, nie dokonując w ich ramach żadnych rozróżnień. Poprzez np. połączenie telefoniczne nie można z przyczyn oczywistych okazać legitymacji osobie zobowiązanej, mimo, że Projekt </w:t>
            </w:r>
            <w:r w:rsidRPr="0078357D">
              <w:rPr>
                <w:bCs/>
                <w:i/>
                <w:iCs/>
                <w:sz w:val="22"/>
                <w:szCs w:val="22"/>
              </w:rPr>
              <w:t>de facto</w:t>
            </w:r>
            <w:r w:rsidRPr="0078357D">
              <w:rPr>
                <w:bCs/>
                <w:sz w:val="22"/>
                <w:szCs w:val="22"/>
              </w:rPr>
              <w:t xml:space="preserve"> nakłada taki obowiązek.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F9DE5C" w14:textId="03385EDC" w:rsidR="00B41A88" w:rsidRDefault="00CB35C9" w:rsidP="00B41A88">
            <w:pPr>
              <w:snapToGrid w:val="0"/>
              <w:rPr>
                <w:b/>
                <w:bCs/>
                <w:sz w:val="22"/>
                <w:szCs w:val="22"/>
              </w:rPr>
            </w:pPr>
            <w:r w:rsidRPr="0093391D">
              <w:rPr>
                <w:b/>
                <w:bCs/>
                <w:sz w:val="22"/>
                <w:szCs w:val="22"/>
              </w:rPr>
              <w:t xml:space="preserve">Częściowo uwzględniono poprzez zmianę brzmienia </w:t>
            </w:r>
            <w:r w:rsidRPr="005821D1">
              <w:rPr>
                <w:b/>
                <w:bCs/>
                <w:sz w:val="22"/>
                <w:szCs w:val="22"/>
              </w:rPr>
              <w:t>przepisu art. 34 i 38 (po zmianie numeracji przepisów).</w:t>
            </w:r>
          </w:p>
          <w:p w14:paraId="7DDB307F" w14:textId="28472617" w:rsidR="00CB35C9" w:rsidRPr="007749DD" w:rsidRDefault="00CB35C9" w:rsidP="00B41A88">
            <w:pPr>
              <w:snapToGrid w:val="0"/>
              <w:rPr>
                <w:sz w:val="22"/>
                <w:szCs w:val="22"/>
              </w:rPr>
            </w:pPr>
          </w:p>
        </w:tc>
      </w:tr>
      <w:tr w:rsidR="00B41A88" w:rsidRPr="007749DD" w14:paraId="4539C90C"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682A7873"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405BCE96" w14:textId="3F6279E4"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20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D111F2B" w14:textId="2EDF959B"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32879D2B" w14:textId="71CC6577" w:rsidR="00B41A88" w:rsidRPr="0078357D" w:rsidRDefault="00B41A88" w:rsidP="00B41A88">
            <w:pPr>
              <w:spacing w:after="200"/>
              <w:contextualSpacing/>
              <w:jc w:val="both"/>
              <w:rPr>
                <w:b/>
                <w:sz w:val="22"/>
                <w:szCs w:val="22"/>
              </w:rPr>
            </w:pPr>
            <w:r w:rsidRPr="0078357D">
              <w:rPr>
                <w:b/>
                <w:sz w:val="22"/>
                <w:szCs w:val="22"/>
              </w:rPr>
              <w:t xml:space="preserve">Ad art. 20 projektu </w:t>
            </w:r>
          </w:p>
          <w:p w14:paraId="34E583D2" w14:textId="495D7580" w:rsidR="00B41A88" w:rsidRPr="0078357D" w:rsidRDefault="00B41A88" w:rsidP="00B41A88">
            <w:pPr>
              <w:jc w:val="both"/>
              <w:rPr>
                <w:bCs/>
                <w:sz w:val="22"/>
                <w:szCs w:val="22"/>
              </w:rPr>
            </w:pPr>
            <w:r w:rsidRPr="0078357D">
              <w:rPr>
                <w:bCs/>
                <w:sz w:val="22"/>
                <w:szCs w:val="22"/>
              </w:rPr>
              <w:t xml:space="preserve">Art. 20 ust. 2 Projektu nie precyzuje ani zasad wydania legitymacji, ani – co istotniejsze – jej cofnięcia. Art. 20 ust. 4 Projektu jest o tyle paradoksalny, iż otwarta treść legitymacji wskazana w art. 20 ust. 3 Projektu zbliżona jest do legitymacji funkcjonariuszy publicznych. Dodatkowo legitymacja ma bardzo ograniczoną i standardową formułę artystyczną (jest po prostu zbiorem określonych informacji) zatem nie do końca zrozumiałym jest w jaki sposób wypełnić należycie wymóg.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FEE8E7" w14:textId="0B498A60" w:rsidR="00B41A88" w:rsidRPr="007749DD" w:rsidRDefault="00CB35C9" w:rsidP="002F4F0E">
            <w:pPr>
              <w:snapToGrid w:val="0"/>
              <w:jc w:val="both"/>
              <w:rPr>
                <w:sz w:val="22"/>
                <w:szCs w:val="22"/>
              </w:rPr>
            </w:pPr>
            <w:r w:rsidRPr="0093391D">
              <w:rPr>
                <w:b/>
                <w:bCs/>
                <w:sz w:val="22"/>
                <w:szCs w:val="22"/>
              </w:rPr>
              <w:t>Częściowo uwzględniono poprzez zmianę brzmienia przepisu.</w:t>
            </w:r>
          </w:p>
        </w:tc>
      </w:tr>
      <w:tr w:rsidR="00B41A88" w:rsidRPr="007749DD" w14:paraId="32391262"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508B6386"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0E75DE07" w14:textId="0DF9E917" w:rsidR="00B41A88" w:rsidRPr="00AC64BA" w:rsidRDefault="00B41A88" w:rsidP="00B41A88">
            <w:pPr>
              <w:suppressAutoHyphens w:val="0"/>
              <w:autoSpaceDE w:val="0"/>
              <w:autoSpaceDN w:val="0"/>
              <w:adjustRightInd w:val="0"/>
              <w:jc w:val="both"/>
              <w:rPr>
                <w:sz w:val="22"/>
                <w:szCs w:val="22"/>
                <w:lang w:eastAsia="pl-PL"/>
              </w:rPr>
            </w:pPr>
            <w:r w:rsidRPr="00CF2C05">
              <w:rPr>
                <w:bCs/>
                <w:sz w:val="22"/>
                <w:szCs w:val="22"/>
                <w:lang w:eastAsia="en-US"/>
              </w:rPr>
              <w:t>Art. 22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AD37DEB" w14:textId="527B317A"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476FCCA1" w14:textId="0A891EA1" w:rsidR="00B41A88" w:rsidRPr="0078357D" w:rsidRDefault="00B41A88" w:rsidP="00B41A88">
            <w:pPr>
              <w:spacing w:after="200"/>
              <w:contextualSpacing/>
              <w:jc w:val="both"/>
              <w:rPr>
                <w:b/>
                <w:sz w:val="22"/>
                <w:szCs w:val="22"/>
              </w:rPr>
            </w:pPr>
            <w:r w:rsidRPr="0078357D">
              <w:rPr>
                <w:b/>
                <w:sz w:val="22"/>
                <w:szCs w:val="22"/>
              </w:rPr>
              <w:t xml:space="preserve">Ad art. 22 projektu </w:t>
            </w:r>
          </w:p>
          <w:p w14:paraId="3DC4E8C6" w14:textId="77777777" w:rsidR="00B41A88" w:rsidRPr="00CF2C05" w:rsidRDefault="00B41A88" w:rsidP="00B41A88">
            <w:pPr>
              <w:suppressAutoHyphens w:val="0"/>
              <w:jc w:val="both"/>
              <w:rPr>
                <w:rFonts w:eastAsia="Times New Roman"/>
                <w:bCs/>
                <w:sz w:val="22"/>
                <w:szCs w:val="22"/>
                <w:lang w:eastAsia="pl-PL"/>
              </w:rPr>
            </w:pPr>
            <w:r w:rsidRPr="00CF2C05">
              <w:rPr>
                <w:rFonts w:eastAsia="Times New Roman"/>
                <w:bCs/>
                <w:sz w:val="22"/>
                <w:szCs w:val="22"/>
                <w:lang w:eastAsia="pl-PL"/>
              </w:rPr>
              <w:t xml:space="preserve">Obowiązek zatrudnienia windykatora na umowę o pracę Projektodawca tłumaczy chęcią zaostrzenia odpowiedzialności odszkodowawczej przedsiębiorstwa windykacyjnego. Tak instrumentalne traktowanie umowy o pracę jest oderwane zupełnie od sensu jej istnienia – stosunek pracy występuje po spełnieniu określonych przesłanek, a nie po centralnym i podgórnym uznaniu. Tym samym Projektodawca w sposób centralny zmusza sektor do przyjęcia określonej organizacji pracy nawet, jeśli pracę tę można organizować w bardziej elastycznej formule. Jeśli powodem ma być rygor odpowiedzialności, argumentu tego można użyć wobec każdego innego sektora – od salonu fryzjerskiego po usługi hydrauliczne. Nie jest on używany z przyczyn oczywistych – tak w tych zawodach, jak i w zawodzie windykatora relacje pomiędzy przedsiębiorstwem, a wykonującym zawód mogą być ułożone w różny sposób. Zasady odpowiedzialności cywilnoprawnej są funkcją ułożenia sposobu współpracy, a nie odwrotnie. Projektodawca, podejmując odwrotną formułę, z góry zakłada, że cechą główną windykacji jest </w:t>
            </w:r>
            <w:r w:rsidRPr="00CF2C05">
              <w:rPr>
                <w:rFonts w:eastAsia="Times New Roman"/>
                <w:bCs/>
                <w:i/>
                <w:iCs/>
                <w:sz w:val="22"/>
                <w:szCs w:val="22"/>
                <w:lang w:eastAsia="pl-PL"/>
              </w:rPr>
              <w:t>de facto</w:t>
            </w:r>
            <w:r w:rsidRPr="00CF2C05">
              <w:rPr>
                <w:rFonts w:eastAsia="Times New Roman"/>
                <w:bCs/>
                <w:sz w:val="22"/>
                <w:szCs w:val="22"/>
                <w:lang w:eastAsia="pl-PL"/>
              </w:rPr>
              <w:t xml:space="preserve"> powstawanie szkód. </w:t>
            </w:r>
          </w:p>
          <w:p w14:paraId="4622CAD9" w14:textId="77777777" w:rsidR="00B41A88" w:rsidRPr="00CF2C05" w:rsidRDefault="00B41A88" w:rsidP="00B41A88">
            <w:pPr>
              <w:suppressAutoHyphens w:val="0"/>
              <w:jc w:val="both"/>
              <w:rPr>
                <w:rFonts w:eastAsia="Times New Roman"/>
                <w:bCs/>
                <w:sz w:val="22"/>
                <w:szCs w:val="22"/>
                <w:lang w:eastAsia="pl-PL"/>
              </w:rPr>
            </w:pPr>
          </w:p>
          <w:p w14:paraId="3FCCB548" w14:textId="77777777" w:rsidR="00B41A88" w:rsidRPr="00CF2C05" w:rsidRDefault="00B41A88" w:rsidP="00B41A88">
            <w:pPr>
              <w:suppressAutoHyphens w:val="0"/>
              <w:jc w:val="both"/>
              <w:rPr>
                <w:rFonts w:eastAsia="Times New Roman"/>
                <w:bCs/>
                <w:sz w:val="22"/>
                <w:szCs w:val="22"/>
                <w:lang w:eastAsia="pl-PL"/>
              </w:rPr>
            </w:pPr>
            <w:r w:rsidRPr="00CF2C05">
              <w:rPr>
                <w:rFonts w:eastAsia="Times New Roman"/>
                <w:bCs/>
                <w:sz w:val="22"/>
                <w:szCs w:val="22"/>
                <w:lang w:eastAsia="pl-PL"/>
              </w:rPr>
              <w:t xml:space="preserve">Takie rozwiązanie będzie wpływało nie tylko na koszt usług, ale też – w połączeniu z innymi rozwiązaniami wskazanymi w Projekcie– na ograniczenie innowacji finansowych. Należy zrezygnować ze wskazanego przepisu. </w:t>
            </w:r>
          </w:p>
          <w:p w14:paraId="7E92963B" w14:textId="77777777" w:rsidR="00B41A88" w:rsidRPr="0078357D" w:rsidRDefault="00B41A88" w:rsidP="00B41A88">
            <w:pPr>
              <w:jc w:val="both"/>
              <w:rPr>
                <w:bCs/>
                <w:sz w:val="22"/>
                <w:szCs w:val="22"/>
              </w:rPr>
            </w:pP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B4ACB6" w14:textId="77777777" w:rsidR="00B41A88" w:rsidRPr="00486818" w:rsidRDefault="00CB35C9" w:rsidP="00B41A88">
            <w:pPr>
              <w:snapToGrid w:val="0"/>
              <w:rPr>
                <w:b/>
                <w:bCs/>
                <w:sz w:val="22"/>
                <w:szCs w:val="22"/>
              </w:rPr>
            </w:pPr>
            <w:r w:rsidRPr="00486818">
              <w:rPr>
                <w:b/>
                <w:bCs/>
                <w:sz w:val="22"/>
                <w:szCs w:val="22"/>
              </w:rPr>
              <w:t>Nie uwzględniono.</w:t>
            </w:r>
          </w:p>
          <w:p w14:paraId="0C52B01E" w14:textId="5D2AEA56" w:rsidR="00CB35C9" w:rsidRPr="00486818" w:rsidRDefault="00CB35C9" w:rsidP="00CB35C9">
            <w:pPr>
              <w:jc w:val="both"/>
              <w:rPr>
                <w:sz w:val="22"/>
                <w:szCs w:val="22"/>
              </w:rPr>
            </w:pPr>
            <w:r w:rsidRPr="00486818">
              <w:rPr>
                <w:sz w:val="22"/>
                <w:szCs w:val="22"/>
              </w:rPr>
              <w:t xml:space="preserve">Wymóg </w:t>
            </w:r>
            <w:r w:rsidR="00486818" w:rsidRPr="00486818">
              <w:rPr>
                <w:sz w:val="22"/>
                <w:szCs w:val="22"/>
              </w:rPr>
              <w:t xml:space="preserve">zatrudnienia windykatora na </w:t>
            </w:r>
            <w:r w:rsidRPr="00486818">
              <w:rPr>
                <w:sz w:val="22"/>
                <w:szCs w:val="22"/>
              </w:rPr>
              <w:t>umow</w:t>
            </w:r>
            <w:r w:rsidR="00486818" w:rsidRPr="00486818">
              <w:rPr>
                <w:sz w:val="22"/>
                <w:szCs w:val="22"/>
              </w:rPr>
              <w:t>ę</w:t>
            </w:r>
            <w:r w:rsidRPr="00486818">
              <w:rPr>
                <w:sz w:val="22"/>
                <w:szCs w:val="22"/>
              </w:rPr>
              <w:t xml:space="preserve"> o pracę</w:t>
            </w:r>
            <w:r w:rsidR="00486818" w:rsidRPr="00486818">
              <w:rPr>
                <w:sz w:val="22"/>
                <w:szCs w:val="22"/>
              </w:rPr>
              <w:t xml:space="preserve"> </w:t>
            </w:r>
            <w:r w:rsidRPr="00486818">
              <w:rPr>
                <w:sz w:val="22"/>
                <w:szCs w:val="22"/>
              </w:rPr>
              <w:t xml:space="preserve">spowodowany jest zapewnieniem kontroli i nadzoru nad windykatorem przez przedsiębiorcę, a nadto ewentualną odpowiedzialność przedsiębiorcy za działania windykatora jako pracownika. </w:t>
            </w:r>
          </w:p>
          <w:p w14:paraId="589A4AEC" w14:textId="27941349" w:rsidR="00CB35C9" w:rsidRPr="00CB35C9" w:rsidRDefault="00CB35C9" w:rsidP="00B41A88">
            <w:pPr>
              <w:snapToGrid w:val="0"/>
              <w:rPr>
                <w:b/>
                <w:bCs/>
                <w:sz w:val="22"/>
                <w:szCs w:val="22"/>
              </w:rPr>
            </w:pPr>
          </w:p>
        </w:tc>
      </w:tr>
      <w:tr w:rsidR="00B41A88" w:rsidRPr="007749DD" w14:paraId="64FD40E4"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39053A08"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18901096" w14:textId="5BF83AAA" w:rsidR="00B41A88" w:rsidRPr="00AC64BA" w:rsidRDefault="00B41A88" w:rsidP="00B41A88">
            <w:pPr>
              <w:suppressAutoHyphens w:val="0"/>
              <w:autoSpaceDE w:val="0"/>
              <w:autoSpaceDN w:val="0"/>
              <w:adjustRightInd w:val="0"/>
              <w:jc w:val="both"/>
              <w:rPr>
                <w:sz w:val="22"/>
                <w:szCs w:val="22"/>
                <w:lang w:eastAsia="pl-PL"/>
              </w:rPr>
            </w:pPr>
            <w:r w:rsidRPr="00AC64BA">
              <w:rPr>
                <w:bCs/>
                <w:sz w:val="22"/>
                <w:szCs w:val="22"/>
              </w:rPr>
              <w:t>Art. 23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9D90F80" w14:textId="5B25EAD0"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5CEF70E9" w14:textId="09580E36" w:rsidR="00B41A88" w:rsidRPr="0078357D" w:rsidRDefault="00B41A88" w:rsidP="00B41A88">
            <w:pPr>
              <w:spacing w:after="200"/>
              <w:contextualSpacing/>
              <w:jc w:val="both"/>
              <w:rPr>
                <w:b/>
                <w:sz w:val="22"/>
                <w:szCs w:val="22"/>
              </w:rPr>
            </w:pPr>
            <w:r w:rsidRPr="0078357D">
              <w:rPr>
                <w:b/>
                <w:sz w:val="22"/>
                <w:szCs w:val="22"/>
              </w:rPr>
              <w:t xml:space="preserve">Ad art. 23 projektu </w:t>
            </w:r>
          </w:p>
          <w:p w14:paraId="04B4E7E9" w14:textId="77777777" w:rsidR="00B41A88" w:rsidRPr="0078357D" w:rsidRDefault="00B41A88" w:rsidP="00B41A88">
            <w:pPr>
              <w:jc w:val="both"/>
              <w:rPr>
                <w:bCs/>
                <w:sz w:val="22"/>
                <w:szCs w:val="22"/>
              </w:rPr>
            </w:pPr>
            <w:r w:rsidRPr="0078357D">
              <w:rPr>
                <w:bCs/>
                <w:sz w:val="22"/>
                <w:szCs w:val="22"/>
              </w:rPr>
              <w:t xml:space="preserve">Nie istnieją żadne powody dla których należy kreować takie rozwiązania formalistyczne pomiędzy wierzycielem, a przedsiębiorstwem windykacyjnym i Projekt również tych powodów nie uzasadnia. Analizowany przepis jest przejawem bezcelowego formalizmu i należy z niego zrezygnować. </w:t>
            </w:r>
          </w:p>
          <w:p w14:paraId="2B318932" w14:textId="77777777" w:rsidR="00B41A88" w:rsidRPr="0078357D" w:rsidRDefault="00B41A88" w:rsidP="00B41A88">
            <w:pPr>
              <w:jc w:val="both"/>
              <w:rPr>
                <w:bCs/>
                <w:sz w:val="22"/>
                <w:szCs w:val="22"/>
              </w:rPr>
            </w:pPr>
          </w:p>
          <w:p w14:paraId="2EC4A798" w14:textId="50E8D685" w:rsidR="00B41A88" w:rsidRPr="0078357D" w:rsidRDefault="00B41A88" w:rsidP="00B41A88">
            <w:pPr>
              <w:suppressAutoHyphens w:val="0"/>
              <w:spacing w:after="200"/>
              <w:contextualSpacing/>
              <w:jc w:val="both"/>
              <w:rPr>
                <w:bCs/>
                <w:sz w:val="22"/>
                <w:szCs w:val="22"/>
              </w:rPr>
            </w:pPr>
            <w:r w:rsidRPr="0078357D">
              <w:rPr>
                <w:bCs/>
                <w:sz w:val="22"/>
                <w:szCs w:val="22"/>
              </w:rPr>
              <w:t xml:space="preserve">Na marginesie wskazać należy, że proponowane rozwiązanie jest pomysłem oderwanym od praktyki. Przykładowo, jak w rzeczywistości umów zlecenia czy umów zarządzania obejmujących tysiące wierzytelności ma być zrealizowany wymóg określony w art. 23 ust. 2 Projektu: </w:t>
            </w:r>
            <w:r w:rsidRPr="0078357D">
              <w:rPr>
                <w:bCs/>
                <w:i/>
                <w:iCs/>
                <w:sz w:val="22"/>
                <w:szCs w:val="22"/>
              </w:rPr>
              <w:t>,,We wniosku o wszczęcie czynności windykacyjnych przez przedsiębiorstwo windykacyjne wskazuje się należność, która jest ma być przedmiotem windykacji”.</w:t>
            </w:r>
            <w:r w:rsidRPr="0078357D">
              <w:rPr>
                <w:bCs/>
                <w:sz w:val="22"/>
                <w:szCs w:val="22"/>
              </w:rPr>
              <w:t xml:space="preserve"> Czemu miałoby służyć przygotowywanie pojedynczych ,,wniosków o wszczęcie czynności windykacyjnych” wraz załącznikami w postaci dokumentów dla każdej wierzytelności? Uwzględniając liczbę i wartość obsługiwanych przez średnią firmę windykacyjną spraw na zlecenie (w imieniu, na rzecz i na rachunek wierzyciela pierwotnego) należy przyjąć, że takie średnie przedsiębiorstwo windykacyjne przyjmuje ok. 2 500 000 zleceń rocznie. Gdyby dla każdego z tych zleceń tworzyć kompleksową dokumentację, w tym przyjmować dokumenty określające źródło należności mającej być przedmiotem windykacji, które mogą być niejednokrotnie dokumentami o rozbudowanej treści, to w praktyce oznaczałoby to konieczność tworzenia zbiorów danych obejmujących dziesiątki lub setki milionów rekordów, przy czym w aktualnej treści Projektu brak jest informacji o możliwości realizacji tych obowiązków chociażby w formie elektronicznej.</w:t>
            </w:r>
          </w:p>
          <w:p w14:paraId="495E33EE" w14:textId="77777777" w:rsidR="00B41A88" w:rsidRPr="0078357D" w:rsidRDefault="00B41A88" w:rsidP="00B41A88">
            <w:pPr>
              <w:jc w:val="both"/>
              <w:rPr>
                <w:bCs/>
                <w:sz w:val="22"/>
                <w:szCs w:val="22"/>
              </w:rPr>
            </w:pPr>
          </w:p>
          <w:p w14:paraId="3DFB16C4" w14:textId="77777777" w:rsidR="00B41A88" w:rsidRPr="0078357D" w:rsidRDefault="00B41A88" w:rsidP="00B41A88">
            <w:pPr>
              <w:jc w:val="both"/>
              <w:rPr>
                <w:bCs/>
                <w:sz w:val="22"/>
                <w:szCs w:val="22"/>
              </w:rPr>
            </w:pPr>
            <w:r w:rsidRPr="0078357D">
              <w:rPr>
                <w:bCs/>
                <w:sz w:val="22"/>
                <w:szCs w:val="22"/>
              </w:rPr>
              <w:t xml:space="preserve">Art. 23 Projektu zdradza, że rozwiązania wskazane w Projekcie odzwierciedlają wyobrażenia o sektorze sprzed ponad dwóch dekad, a i tak w sposób niedokładny. Rozwiązania wskazane w art. 23 Projektu nie tylko utrudniłyby rozwój technologiczny – w ogóle utrudniłyby funkcjonowanie przedsiębiorstw windykacyjnych, jak i dochodzenie wierzytelności, w tym MŚP i to nie realizując żadnego nadrzędnego celu. </w:t>
            </w:r>
          </w:p>
          <w:p w14:paraId="64A526DB" w14:textId="77777777" w:rsidR="00B41A88" w:rsidRPr="0078357D" w:rsidRDefault="00B41A88" w:rsidP="00B41A88">
            <w:pPr>
              <w:jc w:val="both"/>
              <w:rPr>
                <w:bCs/>
                <w:sz w:val="22"/>
                <w:szCs w:val="22"/>
              </w:rPr>
            </w:pPr>
          </w:p>
          <w:p w14:paraId="47348681" w14:textId="0F7A9B83" w:rsidR="00B41A88" w:rsidRPr="0078357D" w:rsidRDefault="00B41A88" w:rsidP="00B41A88">
            <w:pPr>
              <w:jc w:val="both"/>
              <w:rPr>
                <w:bCs/>
                <w:sz w:val="22"/>
                <w:szCs w:val="22"/>
              </w:rPr>
            </w:pPr>
            <w:r w:rsidRPr="0078357D">
              <w:rPr>
                <w:bCs/>
                <w:sz w:val="22"/>
                <w:szCs w:val="22"/>
              </w:rPr>
              <w:t xml:space="preserve">W kontekście art. 23 ust. 4 należy wskazać dodatkowo, iż uderzy on w dłużników. Dług przedawniony pozostaje w BIG-ach oraz BIK-u. Przedawnienie nie jest równoznaczne z wygaszeniem. Przedawnienie również nie zawsze jest oczywiste i bywa elementem spornym. De facto zatem Projektodawca chce utrudnić dłużnikom zaciąganie nowych zobowiązań i narazić ich na większy koszt związany z procesem sądowym w przypadkach spornych. Innymi słowy, Projektodawca transferuje ryzyko na dłużnika, jednocześnie twierdząc, że chce go chronić.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18D702" w14:textId="6A6FEFF1" w:rsidR="00B41A88" w:rsidRPr="007749DD" w:rsidRDefault="002F4F0E" w:rsidP="00B41A88">
            <w:pPr>
              <w:snapToGrid w:val="0"/>
              <w:rPr>
                <w:sz w:val="22"/>
                <w:szCs w:val="22"/>
              </w:rPr>
            </w:pPr>
            <w:r w:rsidRPr="0093391D">
              <w:rPr>
                <w:b/>
                <w:bCs/>
                <w:sz w:val="22"/>
                <w:szCs w:val="22"/>
              </w:rPr>
              <w:t xml:space="preserve">Częściowo uwzględniono poprzez zmianę </w:t>
            </w:r>
            <w:r w:rsidRPr="005821D1">
              <w:rPr>
                <w:b/>
                <w:bCs/>
                <w:sz w:val="22"/>
                <w:szCs w:val="22"/>
              </w:rPr>
              <w:t xml:space="preserve">brzmienia </w:t>
            </w:r>
            <w:r w:rsidR="006D121F" w:rsidRPr="005821D1">
              <w:rPr>
                <w:b/>
                <w:bCs/>
                <w:sz w:val="22"/>
                <w:szCs w:val="22"/>
              </w:rPr>
              <w:t>przepisu art. 41 ust. 3  (po zmianie numeracji przepisów).</w:t>
            </w:r>
          </w:p>
        </w:tc>
      </w:tr>
      <w:tr w:rsidR="00B41A88" w:rsidRPr="007749DD" w14:paraId="1E725F75"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347A231A"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4CA16F9E" w14:textId="2D9D6B86"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24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843CBB3" w14:textId="58AE1111"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0B32BDF0" w14:textId="7878120A" w:rsidR="00B41A88" w:rsidRPr="0078357D" w:rsidRDefault="00B41A88" w:rsidP="00B41A88">
            <w:pPr>
              <w:spacing w:after="200"/>
              <w:contextualSpacing/>
              <w:jc w:val="both"/>
              <w:rPr>
                <w:b/>
                <w:sz w:val="22"/>
                <w:szCs w:val="22"/>
              </w:rPr>
            </w:pPr>
            <w:r w:rsidRPr="0078357D">
              <w:rPr>
                <w:b/>
                <w:sz w:val="22"/>
                <w:szCs w:val="22"/>
              </w:rPr>
              <w:t xml:space="preserve">Ad art. 24 projektu </w:t>
            </w:r>
          </w:p>
          <w:p w14:paraId="6FA837AB" w14:textId="77777777" w:rsidR="00B41A88" w:rsidRPr="0078357D" w:rsidRDefault="00B41A88" w:rsidP="00B41A88">
            <w:pPr>
              <w:jc w:val="both"/>
              <w:rPr>
                <w:bCs/>
                <w:sz w:val="22"/>
                <w:szCs w:val="22"/>
              </w:rPr>
            </w:pPr>
            <w:r w:rsidRPr="0078357D">
              <w:rPr>
                <w:bCs/>
                <w:sz w:val="22"/>
                <w:szCs w:val="22"/>
              </w:rPr>
              <w:t xml:space="preserve">W czasach gdy obowiązek meldunkowy </w:t>
            </w:r>
            <w:r w:rsidRPr="0078357D">
              <w:rPr>
                <w:bCs/>
                <w:i/>
                <w:iCs/>
                <w:sz w:val="22"/>
                <w:szCs w:val="22"/>
              </w:rPr>
              <w:t>de facto</w:t>
            </w:r>
            <w:r w:rsidRPr="0078357D">
              <w:rPr>
                <w:bCs/>
                <w:sz w:val="22"/>
                <w:szCs w:val="22"/>
              </w:rPr>
              <w:t xml:space="preserve"> nie istnieje, zaś wierzyciel poza postępowaniem sądowym ma ograniczoną możliwość ustalenia faktycznego miejsca przebywania osoby zobowiązanej ustanawianie wymogu doręczenia noty windykacyjnej jako podstawy realizacji czynności windykacyjnych jest ponadprzeciętnym ograniczeniem możliwości prowadzenia działań windykacyjnych. Pomija on także postęp technologiczny w zakresie dochodzenia wierzytelności na odległość. Ani wierzyciel ani przedsiębiorstwo windykacyjne nie muszą i często nie mają żadnej wiedzy (nie mają też jak jej zdobyć) w przedmiocie adresu zamieszkania dłużnika. Komentowany przepis wyraźnie wskazuje na to, iż podejście zaproponowane w Projekcie tj. nie odróżnianie różnych form windykacji, prowadzi do niemożliwości zrealizowania wymogów lub sytuacji absurdalnych czy wewnętrznie sprzecznych. </w:t>
            </w:r>
          </w:p>
          <w:p w14:paraId="236C9076" w14:textId="77777777" w:rsidR="00B41A88" w:rsidRPr="0078357D" w:rsidRDefault="00B41A88" w:rsidP="00B41A88">
            <w:pPr>
              <w:jc w:val="both"/>
              <w:rPr>
                <w:bCs/>
                <w:sz w:val="22"/>
                <w:szCs w:val="22"/>
              </w:rPr>
            </w:pPr>
          </w:p>
          <w:p w14:paraId="16EEC3BB" w14:textId="77777777" w:rsidR="00B41A88" w:rsidRPr="0078357D" w:rsidRDefault="00B41A88" w:rsidP="00B41A88">
            <w:pPr>
              <w:jc w:val="both"/>
              <w:rPr>
                <w:bCs/>
                <w:sz w:val="22"/>
                <w:szCs w:val="22"/>
              </w:rPr>
            </w:pPr>
            <w:r w:rsidRPr="0078357D">
              <w:rPr>
                <w:bCs/>
                <w:sz w:val="22"/>
                <w:szCs w:val="22"/>
              </w:rPr>
              <w:t xml:space="preserve">Art. 24 Projektu wymaga zatem w ust. 1 wskazania, iż w przypadkach gdy niemożliwe lub utrudnione jest doręczenie noty informacyjnej dłużnik powinien zostać poinformowany o jej treści. Ponadto, w zakresie ust. 2 wymaga doprecyzowania treści noty: </w:t>
            </w:r>
          </w:p>
          <w:p w14:paraId="60D78DA3" w14:textId="77777777" w:rsidR="00B41A88" w:rsidRPr="0078357D" w:rsidRDefault="00B41A88" w:rsidP="00B41A88">
            <w:pPr>
              <w:pStyle w:val="Akapitzlist"/>
              <w:numPr>
                <w:ilvl w:val="0"/>
                <w:numId w:val="7"/>
              </w:numPr>
              <w:spacing w:after="200"/>
              <w:contextualSpacing/>
              <w:jc w:val="both"/>
              <w:rPr>
                <w:bCs/>
                <w:sz w:val="22"/>
                <w:szCs w:val="22"/>
              </w:rPr>
            </w:pPr>
            <w:r w:rsidRPr="0078357D">
              <w:rPr>
                <w:bCs/>
                <w:sz w:val="22"/>
                <w:szCs w:val="22"/>
              </w:rPr>
              <w:t xml:space="preserve">w zakresie pkt. 1 pominięcia ,,sposobu naliczania” jeśli zamysłem Projektodawcy jest informacja zwięzła i czytelna dla dłużnika; </w:t>
            </w:r>
          </w:p>
          <w:p w14:paraId="4861829A" w14:textId="77777777" w:rsidR="00B41A88" w:rsidRPr="0078357D" w:rsidRDefault="00B41A88" w:rsidP="00B41A88">
            <w:pPr>
              <w:pStyle w:val="Akapitzlist"/>
              <w:numPr>
                <w:ilvl w:val="0"/>
                <w:numId w:val="7"/>
              </w:numPr>
              <w:spacing w:after="200"/>
              <w:contextualSpacing/>
              <w:jc w:val="both"/>
              <w:rPr>
                <w:bCs/>
                <w:sz w:val="22"/>
                <w:szCs w:val="22"/>
              </w:rPr>
            </w:pPr>
            <w:r w:rsidRPr="0078357D">
              <w:rPr>
                <w:bCs/>
                <w:sz w:val="22"/>
                <w:szCs w:val="22"/>
              </w:rPr>
              <w:t xml:space="preserve">w zakresie pkt. 3 zrezygnowanie lub ograniczenie się do zwięzłej charakterystyki dokumentu tj. tytułu wraz z datą, gdyż w przeciwnym razie skutkiem może być dołączanie dodatkowych dziesiątek stron dokumentów; </w:t>
            </w:r>
          </w:p>
          <w:p w14:paraId="5FDC265C" w14:textId="77777777" w:rsidR="00B41A88" w:rsidRPr="0078357D" w:rsidRDefault="00B41A88" w:rsidP="00B41A88">
            <w:pPr>
              <w:pStyle w:val="Akapitzlist"/>
              <w:numPr>
                <w:ilvl w:val="0"/>
                <w:numId w:val="7"/>
              </w:numPr>
              <w:spacing w:after="200"/>
              <w:contextualSpacing/>
              <w:jc w:val="both"/>
              <w:rPr>
                <w:bCs/>
                <w:sz w:val="22"/>
                <w:szCs w:val="22"/>
              </w:rPr>
            </w:pPr>
            <w:r w:rsidRPr="0078357D">
              <w:rPr>
                <w:bCs/>
                <w:sz w:val="22"/>
                <w:szCs w:val="22"/>
              </w:rPr>
              <w:t xml:space="preserve">w zakresie pkt. 4 zrezygnowanie z tego punktu ze względu na sporność dot. przedawnienia lub też migrację dokumentów; </w:t>
            </w:r>
          </w:p>
          <w:p w14:paraId="1BB87E27" w14:textId="77777777" w:rsidR="00B41A88" w:rsidRPr="0078357D" w:rsidRDefault="00B41A88" w:rsidP="00B41A88">
            <w:pPr>
              <w:pStyle w:val="Akapitzlist"/>
              <w:numPr>
                <w:ilvl w:val="0"/>
                <w:numId w:val="7"/>
              </w:numPr>
              <w:spacing w:after="200"/>
              <w:contextualSpacing/>
              <w:jc w:val="both"/>
              <w:rPr>
                <w:bCs/>
                <w:sz w:val="22"/>
                <w:szCs w:val="22"/>
              </w:rPr>
            </w:pPr>
            <w:r w:rsidRPr="0078357D">
              <w:rPr>
                <w:bCs/>
                <w:sz w:val="22"/>
                <w:szCs w:val="22"/>
              </w:rPr>
              <w:t xml:space="preserve">w zakresie pkt. 6 niejasne jest sformułowanie dot. ,,skutków braku reakcji” tj. należy dodać, iż chodzi o skutki w postaci skierowania sprawy na drogę sądową (w obecnej wersji to nie jest zrozumiałe); </w:t>
            </w:r>
          </w:p>
          <w:p w14:paraId="0BEA80ED" w14:textId="19288720" w:rsidR="00B41A88" w:rsidRPr="0078357D" w:rsidRDefault="00B41A88" w:rsidP="00B41A88">
            <w:pPr>
              <w:jc w:val="both"/>
              <w:rPr>
                <w:bCs/>
                <w:sz w:val="22"/>
                <w:szCs w:val="22"/>
              </w:rPr>
            </w:pPr>
            <w:r w:rsidRPr="0078357D">
              <w:rPr>
                <w:bCs/>
                <w:sz w:val="22"/>
                <w:szCs w:val="22"/>
              </w:rPr>
              <w:t>Ponadto nabywca wierzytelności powinien mieć możliwość skierowania do osoby zobowiązanej noty windykacyjnej pełniącej rolę zawiadomienia o cesji, także w sytuacji gdy dalsze czynności windykacyjne nie są zgodnie z ustawą dopuszczalne. Jest to niezbędne z uwagi na ochronę osoby zobowiązanej i konieczność zapewnienia jej dostępu do informacji na temat tego, że doszło do transakcji sprzedaży wierzytelności oraz na czyją rzecz.</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60B0FB" w14:textId="55D4ED8F" w:rsidR="00375F62" w:rsidRPr="007749DD" w:rsidRDefault="00375F62" w:rsidP="007434B7">
            <w:pPr>
              <w:snapToGrid w:val="0"/>
              <w:jc w:val="both"/>
              <w:rPr>
                <w:sz w:val="22"/>
                <w:szCs w:val="22"/>
              </w:rPr>
            </w:pPr>
            <w:r w:rsidRPr="0093391D">
              <w:rPr>
                <w:b/>
                <w:bCs/>
                <w:sz w:val="22"/>
                <w:szCs w:val="22"/>
              </w:rPr>
              <w:t xml:space="preserve">Częściowo uwzględniono poprzez </w:t>
            </w:r>
            <w:r>
              <w:rPr>
                <w:b/>
                <w:bCs/>
                <w:sz w:val="22"/>
                <w:szCs w:val="22"/>
              </w:rPr>
              <w:t>dodanie w art. 3 pkt 4 stanowiącego, iż do wezwania do zapłaty nie stosuje się przepisów niniejszej ustawy.</w:t>
            </w:r>
          </w:p>
        </w:tc>
      </w:tr>
      <w:tr w:rsidR="00B41A88" w:rsidRPr="007749DD" w14:paraId="0D9FD316"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3ED4B372"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00F4F67B" w14:textId="0F9F2379" w:rsidR="00B41A88" w:rsidRPr="00AC64BA" w:rsidRDefault="00B41A88" w:rsidP="00B41A88">
            <w:pPr>
              <w:suppressAutoHyphens w:val="0"/>
              <w:autoSpaceDE w:val="0"/>
              <w:autoSpaceDN w:val="0"/>
              <w:adjustRightInd w:val="0"/>
              <w:jc w:val="both"/>
              <w:rPr>
                <w:sz w:val="22"/>
                <w:szCs w:val="22"/>
                <w:lang w:eastAsia="pl-PL"/>
              </w:rPr>
            </w:pPr>
            <w:r w:rsidRPr="00AC64BA">
              <w:rPr>
                <w:bCs/>
                <w:sz w:val="22"/>
                <w:szCs w:val="22"/>
              </w:rPr>
              <w:t>Art. 26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0A08CE5" w14:textId="28D19B69"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67208944" w14:textId="14C2C92B" w:rsidR="00B41A88" w:rsidRPr="0078357D" w:rsidRDefault="00B41A88" w:rsidP="00B41A88">
            <w:pPr>
              <w:spacing w:after="200"/>
              <w:contextualSpacing/>
              <w:jc w:val="both"/>
              <w:rPr>
                <w:b/>
                <w:sz w:val="22"/>
                <w:szCs w:val="22"/>
              </w:rPr>
            </w:pPr>
            <w:r w:rsidRPr="0078357D">
              <w:rPr>
                <w:b/>
                <w:sz w:val="22"/>
                <w:szCs w:val="22"/>
              </w:rPr>
              <w:t xml:space="preserve">Ad art. 26 projektu </w:t>
            </w:r>
          </w:p>
          <w:p w14:paraId="218D29B3" w14:textId="77777777" w:rsidR="00B41A88" w:rsidRPr="0078357D" w:rsidRDefault="00B41A88" w:rsidP="00B41A88">
            <w:pPr>
              <w:jc w:val="both"/>
              <w:rPr>
                <w:bCs/>
                <w:sz w:val="22"/>
                <w:szCs w:val="22"/>
              </w:rPr>
            </w:pPr>
            <w:r w:rsidRPr="0078357D">
              <w:rPr>
                <w:bCs/>
                <w:sz w:val="22"/>
                <w:szCs w:val="22"/>
              </w:rPr>
              <w:t>Tak ujęta forma sprzeciwu spowoduje, iż pierwsza, nieprzemyślana i niekiedy być może odruchowa reakcja dłużnika odbierze mu szansę na to wszystko, co także łączy się z windykacją: negocjacje, rozłożenie na raty lub częściowe umorzenie, w końcu pełną informację co do kosztów sądowych i postępowania egzekucyjnego, które mogą go spotkać w przypadku braku polubownego rozwiązania sprawy. Konsekwencje bezrefleksyjnego korzystania z prawa sprzeciwu mogą być szczególnie doniosłe w przypadku wierzytelności zabezpieczonych hipoteką. Skorzystanie przez osobę zadłużoną z tego prawa w przypadku wierzytelności hipotecznych będzie zawsze oznaczać egzekucję z nieruchomości (najczęściej nieruchomości służącej zaspokojeniu potrzeb mieszkaniowych osoby zadłużonej i jej rodziny), co wydaje się stać w sprzeczności z celem projektu, jakim jest ochrona konsumentów będących osobami zadłużonymi.</w:t>
            </w:r>
          </w:p>
          <w:p w14:paraId="3F85802F" w14:textId="77777777" w:rsidR="00B41A88" w:rsidRPr="0078357D" w:rsidRDefault="00B41A88" w:rsidP="00B41A88">
            <w:pPr>
              <w:jc w:val="both"/>
              <w:rPr>
                <w:bCs/>
                <w:sz w:val="22"/>
                <w:szCs w:val="22"/>
              </w:rPr>
            </w:pPr>
          </w:p>
          <w:p w14:paraId="7F9361D6" w14:textId="77777777" w:rsidR="00B41A88" w:rsidRPr="0078357D" w:rsidRDefault="00B41A88" w:rsidP="00B41A88">
            <w:pPr>
              <w:jc w:val="both"/>
              <w:rPr>
                <w:bCs/>
                <w:sz w:val="22"/>
                <w:szCs w:val="22"/>
              </w:rPr>
            </w:pPr>
            <w:r w:rsidRPr="0078357D">
              <w:rPr>
                <w:bCs/>
                <w:sz w:val="22"/>
                <w:szCs w:val="22"/>
              </w:rPr>
              <w:t xml:space="preserve">Innymi słowy, po raz kolejny Projekt transferuje ryzyko na dłużnika w warunkach dysproporcji informacji dłużnika o możliwych korzyściach lub konsekwencjach. Tak ujęte rozwiązanie może przysłużyć się i większym kosztom które poniesie dłużnik i zwiększeniu zatorów płatniczych (dodatkowe obciążenie sądów), a tym samym poważnym utrudnieniom w dochodzeniu swoich pieniędzy w sposób polubowny. Ponadto takie ujęcie sprzeciwu jest sprzeczne z dyrektywą NPL w zakresie w jakim prowadzi </w:t>
            </w:r>
            <w:r w:rsidRPr="0078357D">
              <w:rPr>
                <w:bCs/>
                <w:i/>
                <w:iCs/>
                <w:sz w:val="22"/>
                <w:szCs w:val="22"/>
              </w:rPr>
              <w:t>de facto</w:t>
            </w:r>
            <w:r w:rsidRPr="0078357D">
              <w:rPr>
                <w:bCs/>
                <w:sz w:val="22"/>
                <w:szCs w:val="22"/>
              </w:rPr>
              <w:t xml:space="preserve"> do znacznej redukcji rynku windykacji z całymi tego konsekwencjami: dla zatorów płatniczych, wierzycieli, dłużników, firm windykacyjnych. </w:t>
            </w:r>
          </w:p>
          <w:p w14:paraId="541D5BFB" w14:textId="77777777" w:rsidR="00B41A88" w:rsidRPr="0078357D" w:rsidRDefault="00B41A88" w:rsidP="00B41A88">
            <w:pPr>
              <w:jc w:val="both"/>
              <w:rPr>
                <w:bCs/>
                <w:sz w:val="22"/>
                <w:szCs w:val="22"/>
              </w:rPr>
            </w:pPr>
          </w:p>
          <w:p w14:paraId="055E9529" w14:textId="77777777" w:rsidR="00B41A88" w:rsidRPr="0078357D" w:rsidRDefault="00B41A88" w:rsidP="00B41A88">
            <w:pPr>
              <w:jc w:val="both"/>
              <w:rPr>
                <w:bCs/>
                <w:sz w:val="22"/>
                <w:szCs w:val="22"/>
              </w:rPr>
            </w:pPr>
            <w:r w:rsidRPr="0078357D">
              <w:rPr>
                <w:bCs/>
                <w:sz w:val="22"/>
                <w:szCs w:val="22"/>
              </w:rPr>
              <w:t xml:space="preserve">Zatem instytucja sprzeciwu po pierwsze nie powinna być bezwarunkowa, lecz zawierać minimum informacji dotyczących powodów sprzeciwu (przedstawienie informacji dot. sporności wierzytelności). Takie rozwiązanie stanowiłoby jednocześnie dodatkową informację dla wierzyciela, która pozwoliłaby mu na racjonalniejsze podjęcie decyzji co do dalszych kroków. Po drugie, powinna być móc dokonana wyłącznie po uprzednim poinformowaniu dłużnika o korzyściach płynących z windykacji oraz konsekwencjach wynikających z procesu sądowego lub egzekucji komorniczej. Po trzecie, należy wprowadzić możliwość cofnięcia sprzeciwu. Po czwarte, wraz z obowiązkiem poinformowania o możliwości sprzeciwu należy wprowadzić obowiązek wskazania, że sprzeciw nie jest równoznaczny z zakończeniem procesu dochodzenia wierzytelności tak, aby dłużnik nie pozostawał w błędzie co do skutków sprzeciwu. </w:t>
            </w:r>
          </w:p>
          <w:p w14:paraId="188D0BBB" w14:textId="77777777" w:rsidR="00B41A88" w:rsidRPr="0078357D" w:rsidRDefault="00B41A88" w:rsidP="00B41A88">
            <w:pPr>
              <w:jc w:val="both"/>
              <w:rPr>
                <w:bCs/>
                <w:sz w:val="22"/>
                <w:szCs w:val="22"/>
              </w:rPr>
            </w:pPr>
          </w:p>
          <w:p w14:paraId="7607C37F" w14:textId="77777777" w:rsidR="00B41A88" w:rsidRPr="0078357D" w:rsidRDefault="00B41A88" w:rsidP="00B41A88">
            <w:pPr>
              <w:jc w:val="both"/>
              <w:rPr>
                <w:bCs/>
                <w:sz w:val="22"/>
                <w:szCs w:val="22"/>
              </w:rPr>
            </w:pPr>
            <w:r w:rsidRPr="0078357D">
              <w:rPr>
                <w:bCs/>
                <w:sz w:val="22"/>
                <w:szCs w:val="22"/>
              </w:rPr>
              <w:t xml:space="preserve">Instytucję sprzeciwu należy przeformułować w sposób zbliżony do sprzeciwu przewidzianego w ustawie z dnia 9 kwietnia 2010 r. o udostępnianiu informacji gospodarczych i wymianie danych gospodarczych. </w:t>
            </w:r>
          </w:p>
          <w:p w14:paraId="22E3D2AE" w14:textId="77777777" w:rsidR="00B41A88" w:rsidRPr="0078357D" w:rsidRDefault="00B41A88" w:rsidP="00B41A88">
            <w:pPr>
              <w:jc w:val="both"/>
              <w:rPr>
                <w:bCs/>
                <w:sz w:val="22"/>
                <w:szCs w:val="22"/>
              </w:rPr>
            </w:pPr>
          </w:p>
          <w:p w14:paraId="53EF7BDC" w14:textId="17273B06" w:rsidR="00B41A88" w:rsidRPr="0078357D" w:rsidRDefault="00B41A88" w:rsidP="00B41A88">
            <w:pPr>
              <w:spacing w:after="200"/>
              <w:contextualSpacing/>
              <w:jc w:val="both"/>
              <w:rPr>
                <w:bCs/>
                <w:sz w:val="22"/>
                <w:szCs w:val="22"/>
              </w:rPr>
            </w:pPr>
            <w:r w:rsidRPr="0078357D">
              <w:rPr>
                <w:bCs/>
                <w:sz w:val="22"/>
                <w:szCs w:val="22"/>
              </w:rPr>
              <w:lastRenderedPageBreak/>
              <w:t>Niezbędnym jest zmiana sprzeciwu i w tym zakresie można czerpać także z analogii do prawa sprzeciwu zagwarantowanego dłużnikowi wpisanemu do Biura Informacji Gospodarczej – tj. prawa określonego w art. 21a Ustawy o udostępnianiu informacji gospodarczych i wymianie danych gospodarczych. Docelowa regulacja zatem mogłaby określać, że:</w:t>
            </w:r>
          </w:p>
          <w:p w14:paraId="256F7F1D" w14:textId="77777777" w:rsidR="00B41A88" w:rsidRPr="0078357D" w:rsidRDefault="00B41A88" w:rsidP="00B41A88">
            <w:pPr>
              <w:jc w:val="both"/>
              <w:rPr>
                <w:bCs/>
                <w:sz w:val="22"/>
                <w:szCs w:val="22"/>
              </w:rPr>
            </w:pPr>
          </w:p>
          <w:p w14:paraId="416C4D5B" w14:textId="77777777" w:rsidR="00B41A88" w:rsidRPr="0078357D" w:rsidRDefault="00B41A88" w:rsidP="00B41A88">
            <w:pPr>
              <w:pStyle w:val="Akapitzlist"/>
              <w:numPr>
                <w:ilvl w:val="0"/>
                <w:numId w:val="8"/>
              </w:numPr>
              <w:spacing w:after="200"/>
              <w:contextualSpacing/>
              <w:jc w:val="both"/>
              <w:rPr>
                <w:bCs/>
                <w:sz w:val="22"/>
                <w:szCs w:val="22"/>
              </w:rPr>
            </w:pPr>
            <w:r w:rsidRPr="0078357D">
              <w:rPr>
                <w:bCs/>
                <w:sz w:val="22"/>
                <w:szCs w:val="22"/>
              </w:rPr>
              <w:t>Osoba zobowiązana na każdym etapie windykacji może wnieść sprzeciw wobec podejmowanych w stosunku do niej czynności windykacyjnych, jeśli czynności te dotyczą wierzytelności, co do których osoba zobowiązana stawia zarzuty ich nieistnienia lub wygaśnięcia, lub też jeśli dane dotyczące windykowanego zobowiązania są nieaktualne, nieprawdziwe lub niekompletne.</w:t>
            </w:r>
          </w:p>
          <w:p w14:paraId="72E08362" w14:textId="77777777" w:rsidR="00B41A88" w:rsidRPr="0078357D" w:rsidRDefault="00B41A88" w:rsidP="00B41A88">
            <w:pPr>
              <w:pStyle w:val="Akapitzlist"/>
              <w:jc w:val="both"/>
              <w:rPr>
                <w:bCs/>
                <w:sz w:val="22"/>
                <w:szCs w:val="22"/>
              </w:rPr>
            </w:pPr>
          </w:p>
          <w:p w14:paraId="2A1D32F3" w14:textId="77777777" w:rsidR="00B41A88" w:rsidRPr="0078357D" w:rsidRDefault="00B41A88" w:rsidP="00B41A88">
            <w:pPr>
              <w:pStyle w:val="Akapitzlist"/>
              <w:numPr>
                <w:ilvl w:val="0"/>
                <w:numId w:val="8"/>
              </w:numPr>
              <w:spacing w:after="200"/>
              <w:contextualSpacing/>
              <w:jc w:val="both"/>
              <w:rPr>
                <w:bCs/>
                <w:sz w:val="22"/>
                <w:szCs w:val="22"/>
              </w:rPr>
            </w:pPr>
            <w:r w:rsidRPr="0078357D">
              <w:rPr>
                <w:bCs/>
                <w:sz w:val="22"/>
                <w:szCs w:val="22"/>
              </w:rPr>
              <w:t xml:space="preserve">Ważnym jest aby uprawnienie osoby zobowiązanej zostało powiązane bezpośrednio z wierzytelnością jaka jest przedmiotem danych czynności - ma to bowiem szczególne znaczenie w sytuacji, w której dana osoba jest zobowiązana do zapłaty wielu zobowiązań wobec tego samego wierzyciela, a tylko jedno jest w jej odczuciu sporne. </w:t>
            </w:r>
          </w:p>
          <w:p w14:paraId="3D3860EE" w14:textId="77777777" w:rsidR="00B41A88" w:rsidRPr="0078357D" w:rsidRDefault="00B41A88" w:rsidP="00B41A88">
            <w:pPr>
              <w:pStyle w:val="Akapitzlist"/>
              <w:jc w:val="both"/>
              <w:rPr>
                <w:bCs/>
                <w:sz w:val="22"/>
                <w:szCs w:val="22"/>
              </w:rPr>
            </w:pPr>
          </w:p>
          <w:p w14:paraId="36EB5D55" w14:textId="77777777" w:rsidR="00B41A88" w:rsidRPr="0078357D" w:rsidRDefault="00B41A88" w:rsidP="00B41A88">
            <w:pPr>
              <w:pStyle w:val="Akapitzlist"/>
              <w:numPr>
                <w:ilvl w:val="0"/>
                <w:numId w:val="8"/>
              </w:numPr>
              <w:spacing w:after="200"/>
              <w:contextualSpacing/>
              <w:jc w:val="both"/>
              <w:rPr>
                <w:bCs/>
                <w:sz w:val="22"/>
                <w:szCs w:val="22"/>
              </w:rPr>
            </w:pPr>
            <w:r w:rsidRPr="0078357D">
              <w:rPr>
                <w:bCs/>
                <w:sz w:val="22"/>
                <w:szCs w:val="22"/>
              </w:rPr>
              <w:t>Osoba zobowiązana wnosząc sprzeciw winna udokumentować okoliczności uzasadniające sprzeciw, zaś nieuzasadniony lub nieudokumentowany sprzeciw winien pozostać bez rozpoznania.</w:t>
            </w:r>
          </w:p>
          <w:p w14:paraId="7E685BAB" w14:textId="77777777" w:rsidR="00B41A88" w:rsidRPr="0078357D" w:rsidRDefault="00B41A88" w:rsidP="00B41A88">
            <w:pPr>
              <w:pStyle w:val="Akapitzlist"/>
              <w:jc w:val="both"/>
              <w:rPr>
                <w:bCs/>
                <w:sz w:val="22"/>
                <w:szCs w:val="22"/>
              </w:rPr>
            </w:pPr>
          </w:p>
          <w:p w14:paraId="0491AE81" w14:textId="77777777" w:rsidR="00B41A88" w:rsidRPr="0078357D" w:rsidRDefault="00B41A88" w:rsidP="00B41A88">
            <w:pPr>
              <w:pStyle w:val="Akapitzlist"/>
              <w:numPr>
                <w:ilvl w:val="0"/>
                <w:numId w:val="8"/>
              </w:numPr>
              <w:spacing w:after="200"/>
              <w:contextualSpacing/>
              <w:jc w:val="both"/>
              <w:rPr>
                <w:bCs/>
                <w:sz w:val="22"/>
                <w:szCs w:val="22"/>
              </w:rPr>
            </w:pPr>
            <w:r w:rsidRPr="0078357D">
              <w:rPr>
                <w:bCs/>
                <w:sz w:val="22"/>
                <w:szCs w:val="22"/>
              </w:rPr>
              <w:t>W związku z wniesieniem sprzeciwu przedsiębiorstwo windykacyjne zobowiązane jest wstrzymać czynności windykacyjne na okres do 30 dni, w przypadku uzasadnionego przypuszczenia, że dotyczą one zobowiązania, które nie istnieje lub wygasło. W pozostałych przypadkach przedsiębiorstwo windykacyjne może wstrzymać czynności windykacyjne dotyczące zobowiązania objętego sprzeciwem na okres konieczny do rozpatrzenia sprzeciwu nie dłuższy niż 30 dni.</w:t>
            </w:r>
          </w:p>
          <w:p w14:paraId="63E0363F" w14:textId="77777777" w:rsidR="00B41A88" w:rsidRPr="0078357D" w:rsidRDefault="00B41A88" w:rsidP="00B41A88">
            <w:pPr>
              <w:pStyle w:val="Akapitzlist"/>
              <w:jc w:val="both"/>
              <w:rPr>
                <w:bCs/>
                <w:sz w:val="22"/>
                <w:szCs w:val="22"/>
              </w:rPr>
            </w:pPr>
          </w:p>
          <w:p w14:paraId="2B8DEF3F" w14:textId="77777777" w:rsidR="00B41A88" w:rsidRPr="0078357D" w:rsidRDefault="00B41A88" w:rsidP="00B41A88">
            <w:pPr>
              <w:pStyle w:val="Akapitzlist"/>
              <w:numPr>
                <w:ilvl w:val="0"/>
                <w:numId w:val="8"/>
              </w:numPr>
              <w:spacing w:after="200"/>
              <w:contextualSpacing/>
              <w:jc w:val="both"/>
              <w:rPr>
                <w:bCs/>
                <w:sz w:val="22"/>
                <w:szCs w:val="22"/>
              </w:rPr>
            </w:pPr>
            <w:r w:rsidRPr="0078357D">
              <w:rPr>
                <w:bCs/>
                <w:sz w:val="22"/>
                <w:szCs w:val="22"/>
              </w:rPr>
              <w:t>W razie wniesienia przez dłużnika sprzeciwu przedsiębiorstwo windykacyjne przesyła sprzeciw dłużnika do wierzyciela. Wierzyciel zobowiązany jest do rozpatrzenia sprzeciwu w terminie 21 dni i poinformowania o tym przedsiębiorstwa windykacyjnego. Wierzyciel po rozpatrzeniu sprzeciwu może:</w:t>
            </w:r>
          </w:p>
          <w:p w14:paraId="7F200DFD" w14:textId="77777777" w:rsidR="00B41A88" w:rsidRPr="0078357D" w:rsidRDefault="00B41A88" w:rsidP="00B41A88">
            <w:pPr>
              <w:jc w:val="both"/>
              <w:rPr>
                <w:bCs/>
                <w:sz w:val="22"/>
                <w:szCs w:val="22"/>
              </w:rPr>
            </w:pPr>
            <w:r w:rsidRPr="0078357D">
              <w:rPr>
                <w:bCs/>
                <w:sz w:val="22"/>
                <w:szCs w:val="22"/>
              </w:rPr>
              <w:t>a. W sytuacji, gdy dane dotyczące windykowanego zobowiązania są nieaktualne, nieprawdziwe lub niekompletne – dokonać aktualizacji tych danych w przedsiębiorstwie windykacyjnym i zlecić przedsiębiorstwu windykacyjnemu kontynuowanie czynności windykacyjnych,</w:t>
            </w:r>
          </w:p>
          <w:p w14:paraId="0BC59567" w14:textId="77777777" w:rsidR="00B41A88" w:rsidRPr="0078357D" w:rsidRDefault="00B41A88" w:rsidP="00B41A88">
            <w:pPr>
              <w:jc w:val="both"/>
              <w:rPr>
                <w:bCs/>
                <w:sz w:val="22"/>
                <w:szCs w:val="22"/>
              </w:rPr>
            </w:pPr>
            <w:r w:rsidRPr="0078357D">
              <w:rPr>
                <w:bCs/>
                <w:sz w:val="22"/>
                <w:szCs w:val="22"/>
              </w:rPr>
              <w:lastRenderedPageBreak/>
              <w:t xml:space="preserve">b. W sytuacji potwierdzenia, że zobowiązanie nie istnieje lub wygasło – przekazać przedsiębiorstwu windykacyjnemu informację o zakończeniu czynności windykacyjnych dotyczących tego zobowiązania, </w:t>
            </w:r>
          </w:p>
          <w:p w14:paraId="360158E0" w14:textId="77777777" w:rsidR="00B41A88" w:rsidRPr="0078357D" w:rsidRDefault="00B41A88" w:rsidP="00B41A88">
            <w:pPr>
              <w:jc w:val="both"/>
              <w:rPr>
                <w:bCs/>
                <w:sz w:val="22"/>
                <w:szCs w:val="22"/>
              </w:rPr>
            </w:pPr>
            <w:r w:rsidRPr="0078357D">
              <w:rPr>
                <w:bCs/>
                <w:sz w:val="22"/>
                <w:szCs w:val="22"/>
              </w:rPr>
              <w:t>c. Uznać sprzeciw dłużnika za bezzasadny i zlecić przedsiębiorstwu windykacyjnemu kontynuowanie czynności windykacyjnych.</w:t>
            </w:r>
          </w:p>
          <w:p w14:paraId="6CBB55A6" w14:textId="77777777" w:rsidR="00B41A88" w:rsidRPr="0078357D" w:rsidRDefault="00B41A88" w:rsidP="00B41A88">
            <w:pPr>
              <w:jc w:val="both"/>
              <w:rPr>
                <w:bCs/>
                <w:sz w:val="22"/>
                <w:szCs w:val="22"/>
              </w:rPr>
            </w:pPr>
          </w:p>
          <w:p w14:paraId="69D1BE0F" w14:textId="77777777" w:rsidR="00B41A88" w:rsidRPr="0078357D" w:rsidRDefault="00B41A88" w:rsidP="00B41A88">
            <w:pPr>
              <w:pStyle w:val="Akapitzlist"/>
              <w:numPr>
                <w:ilvl w:val="0"/>
                <w:numId w:val="9"/>
              </w:numPr>
              <w:spacing w:after="200"/>
              <w:contextualSpacing/>
              <w:jc w:val="both"/>
              <w:rPr>
                <w:bCs/>
                <w:sz w:val="22"/>
                <w:szCs w:val="22"/>
              </w:rPr>
            </w:pPr>
            <w:r w:rsidRPr="0078357D">
              <w:rPr>
                <w:bCs/>
                <w:sz w:val="22"/>
                <w:szCs w:val="22"/>
              </w:rPr>
              <w:t xml:space="preserve">Przedsiębiorstwo windykacyjne informuje osobę zobowiązaną o sposobie rozpatrzenia sprzeciwu przez wierzyciela. Kontynuacja windykacji lub jej brak zależałaby w dalszej kolejności od postawy dłużnika wobec otrzymanej informacji i zasad ogólnych. </w:t>
            </w:r>
          </w:p>
          <w:p w14:paraId="0244BB7F" w14:textId="77777777" w:rsidR="00B41A88" w:rsidRPr="0078357D" w:rsidRDefault="00B41A88" w:rsidP="00B41A88">
            <w:pPr>
              <w:jc w:val="both"/>
              <w:rPr>
                <w:bCs/>
                <w:sz w:val="22"/>
                <w:szCs w:val="22"/>
              </w:rPr>
            </w:pPr>
            <w:r w:rsidRPr="0078357D">
              <w:rPr>
                <w:bCs/>
                <w:sz w:val="22"/>
                <w:szCs w:val="22"/>
              </w:rPr>
              <w:t xml:space="preserve">Rozwiązanie minimum powinno stanowić, iż złożenie sprzeciw nie powinno odbierać dłużnikowi prawa do informacji (a tym samym uniknięcia dodatkowych kosztów), wierzycielowi szansy na polubowne odzyskanie należności, a przedsiębiorstwu windykacyjnemu możliwości przynajmniej podstawowych kroków. </w:t>
            </w:r>
          </w:p>
          <w:p w14:paraId="21D9B9D3" w14:textId="77777777" w:rsidR="00B41A88" w:rsidRPr="0078357D" w:rsidRDefault="00B41A88" w:rsidP="00B41A88">
            <w:pPr>
              <w:jc w:val="both"/>
              <w:rPr>
                <w:bCs/>
                <w:sz w:val="22"/>
                <w:szCs w:val="22"/>
              </w:rPr>
            </w:pPr>
          </w:p>
          <w:p w14:paraId="3A4A2095" w14:textId="0089187B" w:rsidR="00B41A88" w:rsidRPr="0078357D" w:rsidRDefault="00B41A88" w:rsidP="00B41A88">
            <w:pPr>
              <w:jc w:val="both"/>
              <w:rPr>
                <w:bCs/>
                <w:sz w:val="22"/>
                <w:szCs w:val="22"/>
              </w:rPr>
            </w:pPr>
            <w:r w:rsidRPr="0078357D">
              <w:rPr>
                <w:bCs/>
                <w:sz w:val="22"/>
                <w:szCs w:val="22"/>
              </w:rPr>
              <w:t>Dodatkowo należy zauważyć, że może występować sprzeczność między tak ujętym w Projekcie sprzeciwem, a prawem powszechnie obowiązującym. Za przykład można wskazać, iż Projekt jest sprzeczny z Prawem Energetycznym (PE) - jeśli dłużnik złoży sprzeciw, brak będzie możliwości podjęcia dalszych czynności windykacyjnych, czyli np. wysłania wezwania do zapłaty. Przy braku wysłania wezwania z dodatkowym terminem na zapłatę nie będzie można wstrzymać świadczenia usług, co gwarantuje PE.</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49909F" w14:textId="77777777" w:rsidR="00B41A88" w:rsidRDefault="00DA5C20" w:rsidP="00B41A88">
            <w:pPr>
              <w:snapToGrid w:val="0"/>
              <w:rPr>
                <w:b/>
                <w:bCs/>
                <w:sz w:val="22"/>
                <w:szCs w:val="22"/>
              </w:rPr>
            </w:pPr>
            <w:r w:rsidRPr="00DA5C20">
              <w:rPr>
                <w:b/>
                <w:bCs/>
                <w:sz w:val="22"/>
                <w:szCs w:val="22"/>
              </w:rPr>
              <w:lastRenderedPageBreak/>
              <w:t>Nie uwzględniono.</w:t>
            </w:r>
          </w:p>
          <w:p w14:paraId="472563E2" w14:textId="77777777" w:rsidR="00DA5C20" w:rsidRDefault="00DA5C20" w:rsidP="00B41A88">
            <w:pPr>
              <w:snapToGrid w:val="0"/>
              <w:rPr>
                <w:b/>
                <w:bCs/>
                <w:sz w:val="22"/>
                <w:szCs w:val="22"/>
              </w:rPr>
            </w:pPr>
          </w:p>
          <w:p w14:paraId="48D0CEF1" w14:textId="512E1C1B" w:rsidR="00DA5C20" w:rsidRPr="00DA5C20" w:rsidRDefault="00375F62" w:rsidP="00873465">
            <w:pPr>
              <w:snapToGrid w:val="0"/>
              <w:jc w:val="both"/>
              <w:rPr>
                <w:b/>
                <w:bCs/>
                <w:sz w:val="22"/>
                <w:szCs w:val="22"/>
              </w:rPr>
            </w:pPr>
            <w:r>
              <w:rPr>
                <w:b/>
                <w:bCs/>
                <w:sz w:val="22"/>
                <w:szCs w:val="22"/>
              </w:rPr>
              <w:t xml:space="preserve">Projekt ustawy zakłada dobrowolność, polubowność czynności windykacyjnych prowadzonych przez przedsiębiorstwo windykacyjne wobec osoby zobowiązanej. Złożenie sprzeciwu nie wyklucza możliwości dokonywania wpłat przez osobę zobowiązaną na rzecz wierzyciela. </w:t>
            </w:r>
          </w:p>
        </w:tc>
      </w:tr>
      <w:tr w:rsidR="00B41A88" w:rsidRPr="007749DD" w14:paraId="07CA0859"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5C3ADF15"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598D01CB" w14:textId="4FB89E2C" w:rsidR="00B41A88" w:rsidRPr="00AC64BA" w:rsidRDefault="00B41A88" w:rsidP="00B41A88">
            <w:pPr>
              <w:suppressAutoHyphens w:val="0"/>
              <w:autoSpaceDE w:val="0"/>
              <w:autoSpaceDN w:val="0"/>
              <w:adjustRightInd w:val="0"/>
              <w:jc w:val="both"/>
              <w:rPr>
                <w:sz w:val="22"/>
                <w:szCs w:val="22"/>
                <w:lang w:eastAsia="pl-PL"/>
              </w:rPr>
            </w:pPr>
            <w:r w:rsidRPr="00AC64BA">
              <w:rPr>
                <w:bCs/>
                <w:sz w:val="22"/>
                <w:szCs w:val="22"/>
              </w:rPr>
              <w:t>Art. 28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18AA86F" w14:textId="0C43C3A5"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443A5BC7" w14:textId="5458B572" w:rsidR="00B41A88" w:rsidRPr="0078357D" w:rsidRDefault="00B41A88" w:rsidP="00B41A88">
            <w:pPr>
              <w:spacing w:after="200"/>
              <w:contextualSpacing/>
              <w:jc w:val="both"/>
              <w:rPr>
                <w:b/>
                <w:sz w:val="22"/>
                <w:szCs w:val="22"/>
              </w:rPr>
            </w:pPr>
            <w:r w:rsidRPr="0078357D">
              <w:rPr>
                <w:b/>
                <w:sz w:val="22"/>
                <w:szCs w:val="22"/>
              </w:rPr>
              <w:t xml:space="preserve">Ad art. 28 projektu </w:t>
            </w:r>
          </w:p>
          <w:p w14:paraId="0F6C5C14" w14:textId="6A35A8E8" w:rsidR="00B41A88" w:rsidRPr="0078357D" w:rsidRDefault="00B41A88" w:rsidP="00B41A88">
            <w:pPr>
              <w:jc w:val="both"/>
              <w:rPr>
                <w:bCs/>
                <w:sz w:val="22"/>
                <w:szCs w:val="22"/>
              </w:rPr>
            </w:pPr>
            <w:r w:rsidRPr="0078357D">
              <w:rPr>
                <w:bCs/>
                <w:sz w:val="22"/>
                <w:szCs w:val="22"/>
              </w:rPr>
              <w:t xml:space="preserve">W kontekście art. 28 ust. 2 Projektu rekomendowane jest usunięcie możliwości działania organizacji pozarządowej. Raz, z brzmienia przepisu wynika, iż może ona działać bez wiedzy i woli dłużnika. Dwa, organizacje mogą w takim przypadku kierować się wyłącznie własnym interesem, podczas gdy interes dłużnika (brak informacji, zwiększone koszty) może zostać naruszony. Zatem wskazanym jest aby pozostać przy modelu w którym dłużnik działa sam lub poprzez ustanowionego pełnomocnika, a w przypadku organizacji pozarządowej może skorzystać z np.: darmowej porady prawnej lub innej formy wsparcia.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5361E" w14:textId="70F90FB2" w:rsidR="00B41A88" w:rsidRPr="005821D1" w:rsidRDefault="00B41A88" w:rsidP="00873465">
            <w:pPr>
              <w:snapToGrid w:val="0"/>
              <w:jc w:val="both"/>
              <w:rPr>
                <w:sz w:val="22"/>
                <w:szCs w:val="22"/>
              </w:rPr>
            </w:pPr>
            <w:r w:rsidRPr="00873465">
              <w:rPr>
                <w:b/>
                <w:bCs/>
                <w:sz w:val="22"/>
                <w:szCs w:val="22"/>
              </w:rPr>
              <w:t xml:space="preserve">Uwaga </w:t>
            </w:r>
            <w:r w:rsidR="005821D1" w:rsidRPr="00873465">
              <w:rPr>
                <w:b/>
                <w:bCs/>
                <w:sz w:val="22"/>
                <w:szCs w:val="22"/>
              </w:rPr>
              <w:t>częściowo uwzględniona.</w:t>
            </w:r>
            <w:r w:rsidR="005821D1" w:rsidRPr="005821D1">
              <w:rPr>
                <w:sz w:val="22"/>
                <w:szCs w:val="22"/>
              </w:rPr>
              <w:t xml:space="preserve"> Doprecyzowano przepis w zakresie organizacji </w:t>
            </w:r>
            <w:r w:rsidR="005821D1">
              <w:rPr>
                <w:sz w:val="22"/>
                <w:szCs w:val="22"/>
              </w:rPr>
              <w:t>upoważnion</w:t>
            </w:r>
            <w:r w:rsidR="00873465">
              <w:rPr>
                <w:sz w:val="22"/>
                <w:szCs w:val="22"/>
              </w:rPr>
              <w:t>y</w:t>
            </w:r>
            <w:r w:rsidR="005821D1">
              <w:rPr>
                <w:sz w:val="22"/>
                <w:szCs w:val="22"/>
              </w:rPr>
              <w:t xml:space="preserve">ch </w:t>
            </w:r>
            <w:r w:rsidR="005821D1" w:rsidRPr="005821D1">
              <w:rPr>
                <w:sz w:val="22"/>
                <w:szCs w:val="22"/>
              </w:rPr>
              <w:t xml:space="preserve">do reprezentowania osób zobowiązanych. </w:t>
            </w:r>
          </w:p>
        </w:tc>
      </w:tr>
      <w:tr w:rsidR="00B41A88" w:rsidRPr="007749DD" w14:paraId="11361643"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63A1555C"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3F548DC7" w14:textId="64937C56" w:rsidR="00B41A88" w:rsidRPr="00AC64BA" w:rsidRDefault="00B41A88" w:rsidP="00B41A88">
            <w:pPr>
              <w:suppressAutoHyphens w:val="0"/>
              <w:autoSpaceDE w:val="0"/>
              <w:autoSpaceDN w:val="0"/>
              <w:adjustRightInd w:val="0"/>
              <w:jc w:val="both"/>
              <w:rPr>
                <w:sz w:val="22"/>
                <w:szCs w:val="22"/>
                <w:lang w:eastAsia="pl-PL"/>
              </w:rPr>
            </w:pPr>
            <w:r w:rsidRPr="00AC64BA">
              <w:rPr>
                <w:bCs/>
                <w:sz w:val="22"/>
                <w:szCs w:val="22"/>
              </w:rPr>
              <w:t>Art. 29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9CFDF97" w14:textId="1EB542C5"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0915D72C" w14:textId="2D0C7722" w:rsidR="00B41A88" w:rsidRPr="0078357D" w:rsidRDefault="00B41A88" w:rsidP="00B41A88">
            <w:pPr>
              <w:spacing w:after="200"/>
              <w:contextualSpacing/>
              <w:jc w:val="both"/>
              <w:rPr>
                <w:b/>
                <w:sz w:val="22"/>
                <w:szCs w:val="22"/>
              </w:rPr>
            </w:pPr>
            <w:r w:rsidRPr="0078357D">
              <w:rPr>
                <w:b/>
                <w:sz w:val="22"/>
                <w:szCs w:val="22"/>
              </w:rPr>
              <w:t xml:space="preserve">Ad art. 29 projektu </w:t>
            </w:r>
          </w:p>
          <w:p w14:paraId="6F1A4B18" w14:textId="77777777" w:rsidR="00B41A88" w:rsidRPr="0078357D" w:rsidRDefault="00B41A88" w:rsidP="00B41A88">
            <w:pPr>
              <w:jc w:val="both"/>
              <w:rPr>
                <w:bCs/>
                <w:sz w:val="22"/>
                <w:szCs w:val="22"/>
              </w:rPr>
            </w:pPr>
            <w:r w:rsidRPr="0078357D">
              <w:rPr>
                <w:bCs/>
                <w:sz w:val="22"/>
                <w:szCs w:val="22"/>
              </w:rPr>
              <w:t xml:space="preserve">Względem art. 29 ust. 1 Projektu wskazać należy, iż takie ujęcie czasowe (od godziny 17 do 9) jest nie tylko niejasne (mowa o 9.00 nad ranem, czy też 21.00?), ale zakładając, co bardziej prawdopodobne, iż chodzi o godziny 17.00-9.00, spowoduje właściwie ustanie windykacji wobec faktu, że zdecydowana większość ludzi pracuje w godzinach z przedziału 8.00-17.00. W obecnej formule nawet odebranie telefonu od dłużnika będzie niemożliwe we wskazanych wyżej godzinach. Możliwość kontaktu telefonicznego z dłużnikiem powinna być zapewniona w godzinach 7.00-20.00, a także w przypadku zainicjowania kontaktu przez samego dłużnika. Powstaje także pytanie czy </w:t>
            </w:r>
            <w:r w:rsidRPr="0078357D">
              <w:rPr>
                <w:bCs/>
                <w:sz w:val="22"/>
                <w:szCs w:val="22"/>
              </w:rPr>
              <w:lastRenderedPageBreak/>
              <w:t>w przypadku prowadzenia działań windykacyjnych wobec tej samej osoby zadłużonej, ale na zlecenie więcej niż jednego wierzyciela ograniczenie to znajduje zastosowanie do wszystkich wierzycieli, czy dla każdego z wierzycieli Projekt dopuszcza limit trzech połączeń.</w:t>
            </w:r>
          </w:p>
          <w:p w14:paraId="5EBFD153" w14:textId="77777777" w:rsidR="00B41A88" w:rsidRPr="0078357D" w:rsidRDefault="00B41A88" w:rsidP="00B41A88">
            <w:pPr>
              <w:jc w:val="both"/>
              <w:rPr>
                <w:bCs/>
                <w:sz w:val="22"/>
                <w:szCs w:val="22"/>
              </w:rPr>
            </w:pPr>
          </w:p>
          <w:p w14:paraId="26C16498" w14:textId="717D8F32" w:rsidR="00B41A88" w:rsidRPr="0078357D" w:rsidRDefault="00B41A88" w:rsidP="00B41A88">
            <w:pPr>
              <w:jc w:val="both"/>
              <w:rPr>
                <w:bCs/>
                <w:sz w:val="22"/>
                <w:szCs w:val="22"/>
              </w:rPr>
            </w:pPr>
            <w:r w:rsidRPr="0078357D">
              <w:rPr>
                <w:bCs/>
                <w:sz w:val="22"/>
                <w:szCs w:val="22"/>
              </w:rPr>
              <w:t xml:space="preserve">Względem art. 29 ust. 2 Projektu wskazać należy, że nie wynika z przepisu czy mowa o odebranych czy też nieodebranych połączeniach. Jednocześnie limit nie powinien obejmować kontaktów zainicjowanych przez dłużnika lub na jego własne życzenie (np.: wcześniej umówiona rozmowa z dłużnikiem). Ponadto limit nie powinien obejmować kontaktów nie związanych ze sprawą, lecz wynikających z obowiązków nakładanych przez prawo. Również należy wprost wskazać, iż limit związany jest z konkretną wierzytelnością, a nie z osobą dłużnika. Ponad to wszystko zauważyć należy także, iż nie zostało także nigdzie wykazane czemu liczba połączeń ma wynosić trzy, a nie cztery lub pięć?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3CF2A8" w14:textId="411295A2" w:rsidR="00B41A88" w:rsidRPr="007749DD" w:rsidRDefault="005821D1" w:rsidP="00B41A88">
            <w:pPr>
              <w:snapToGrid w:val="0"/>
              <w:rPr>
                <w:sz w:val="22"/>
                <w:szCs w:val="22"/>
              </w:rPr>
            </w:pPr>
            <w:r w:rsidRPr="0093391D">
              <w:rPr>
                <w:b/>
                <w:bCs/>
                <w:sz w:val="22"/>
                <w:szCs w:val="22"/>
              </w:rPr>
              <w:lastRenderedPageBreak/>
              <w:t>Częściowo uwzględniono poprzez zmianę brzmienia przepisu</w:t>
            </w:r>
            <w:r>
              <w:rPr>
                <w:b/>
                <w:bCs/>
                <w:sz w:val="22"/>
                <w:szCs w:val="22"/>
              </w:rPr>
              <w:t xml:space="preserve"> dotyczącego godzin dopuszczalnych kontaktów. </w:t>
            </w:r>
          </w:p>
        </w:tc>
      </w:tr>
      <w:tr w:rsidR="00B41A88" w:rsidRPr="007749DD" w14:paraId="22692541"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592FBF83"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17D2EE04" w14:textId="500337D8" w:rsidR="00B41A88" w:rsidRPr="00AC64BA" w:rsidRDefault="00B41A88" w:rsidP="00B41A88">
            <w:pPr>
              <w:suppressAutoHyphens w:val="0"/>
              <w:autoSpaceDE w:val="0"/>
              <w:autoSpaceDN w:val="0"/>
              <w:adjustRightInd w:val="0"/>
              <w:jc w:val="both"/>
              <w:rPr>
                <w:sz w:val="22"/>
                <w:szCs w:val="22"/>
                <w:lang w:eastAsia="pl-PL"/>
              </w:rPr>
            </w:pPr>
            <w:r w:rsidRPr="00AC64BA">
              <w:rPr>
                <w:bCs/>
                <w:sz w:val="22"/>
                <w:szCs w:val="22"/>
              </w:rPr>
              <w:t>Art. 30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201D8BC" w14:textId="2ACF5164"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26823568" w14:textId="2943B9E6" w:rsidR="00B41A88" w:rsidRPr="0078357D" w:rsidRDefault="00B41A88" w:rsidP="00B41A88">
            <w:pPr>
              <w:spacing w:after="200"/>
              <w:contextualSpacing/>
              <w:jc w:val="both"/>
              <w:rPr>
                <w:b/>
                <w:sz w:val="22"/>
                <w:szCs w:val="22"/>
              </w:rPr>
            </w:pPr>
            <w:r w:rsidRPr="0078357D">
              <w:rPr>
                <w:b/>
                <w:sz w:val="22"/>
                <w:szCs w:val="22"/>
              </w:rPr>
              <w:t xml:space="preserve">Ad art. 30 projektu </w:t>
            </w:r>
          </w:p>
          <w:p w14:paraId="7C9E8677" w14:textId="77777777" w:rsidR="00B41A88" w:rsidRPr="0078357D" w:rsidRDefault="00B41A88" w:rsidP="00B41A88">
            <w:pPr>
              <w:jc w:val="both"/>
              <w:rPr>
                <w:bCs/>
                <w:sz w:val="22"/>
                <w:szCs w:val="22"/>
              </w:rPr>
            </w:pPr>
            <w:r w:rsidRPr="0078357D">
              <w:rPr>
                <w:bCs/>
                <w:sz w:val="22"/>
                <w:szCs w:val="22"/>
              </w:rPr>
              <w:t xml:space="preserve">Wobec problematycznego ujęcia kim jest windykator oraz wyłączeń na gruncie Projektu, art. 30 ust. 1 pozostaje przepisem rodzącym poważne wątpliwości interpretacyjne i w obecnym kształcie projektu nierozstrzygalne. Niezbędnym jest także doprecyzowanie czym jest ,,bezpośredni kontakt”. </w:t>
            </w:r>
          </w:p>
          <w:p w14:paraId="68996CA7" w14:textId="77777777" w:rsidR="00B41A88" w:rsidRPr="0078357D" w:rsidRDefault="00B41A88" w:rsidP="00B41A88">
            <w:pPr>
              <w:jc w:val="both"/>
              <w:rPr>
                <w:bCs/>
                <w:sz w:val="22"/>
                <w:szCs w:val="22"/>
              </w:rPr>
            </w:pPr>
          </w:p>
          <w:p w14:paraId="6BE4707F" w14:textId="77EC67B6" w:rsidR="00B41A88" w:rsidRPr="0078357D" w:rsidRDefault="00B41A88" w:rsidP="00B41A88">
            <w:pPr>
              <w:jc w:val="both"/>
              <w:rPr>
                <w:bCs/>
                <w:sz w:val="22"/>
                <w:szCs w:val="22"/>
              </w:rPr>
            </w:pPr>
            <w:r w:rsidRPr="0078357D">
              <w:rPr>
                <w:bCs/>
                <w:sz w:val="22"/>
                <w:szCs w:val="22"/>
              </w:rPr>
              <w:t xml:space="preserve">Wobec art. 30 ust. 2 i ust. 3 Projektu należy wskazać, że przepis nie rozstrzyga jak i czy rejestrować wskazaną zgodę. Jednocześnie w kontekście godzin należy poczynić analogiczne uwagi jak w przypadku art. 29 ust. 1 Projektu (tj. wydłużenie godzin).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8B28C" w14:textId="367EBDC8" w:rsidR="00B41A88" w:rsidRPr="007749DD" w:rsidRDefault="005821D1" w:rsidP="00B41A88">
            <w:pPr>
              <w:snapToGrid w:val="0"/>
              <w:rPr>
                <w:sz w:val="22"/>
                <w:szCs w:val="22"/>
              </w:rPr>
            </w:pPr>
            <w:r w:rsidRPr="0093391D">
              <w:rPr>
                <w:b/>
                <w:bCs/>
                <w:sz w:val="22"/>
                <w:szCs w:val="22"/>
              </w:rPr>
              <w:t>Częściowo uwzględniono poprzez zmianę brzmienia przepisu</w:t>
            </w:r>
            <w:r w:rsidR="00B41A88" w:rsidRPr="66E016ED">
              <w:rPr>
                <w:sz w:val="22"/>
                <w:szCs w:val="22"/>
              </w:rPr>
              <w:t>.</w:t>
            </w:r>
          </w:p>
          <w:p w14:paraId="35BCADED" w14:textId="48BBBACF" w:rsidR="00B41A88" w:rsidRPr="007749DD" w:rsidRDefault="00B41A88" w:rsidP="00B41A88">
            <w:pPr>
              <w:snapToGrid w:val="0"/>
              <w:rPr>
                <w:sz w:val="22"/>
                <w:szCs w:val="22"/>
              </w:rPr>
            </w:pPr>
          </w:p>
        </w:tc>
      </w:tr>
      <w:tr w:rsidR="00B41A88" w:rsidRPr="007749DD" w14:paraId="42102683" w14:textId="77777777" w:rsidTr="00873465">
        <w:trPr>
          <w:trHeight w:val="863"/>
          <w:jc w:val="center"/>
        </w:trPr>
        <w:tc>
          <w:tcPr>
            <w:tcW w:w="704" w:type="dxa"/>
            <w:tcBorders>
              <w:top w:val="single" w:sz="4" w:space="0" w:color="000000" w:themeColor="text1"/>
              <w:left w:val="single" w:sz="4" w:space="0" w:color="000000" w:themeColor="text1"/>
              <w:bottom w:val="single" w:sz="4" w:space="0" w:color="000000" w:themeColor="text1"/>
            </w:tcBorders>
          </w:tcPr>
          <w:p w14:paraId="0C9D4D4C"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09AB182E" w14:textId="60CA7DF5" w:rsidR="00B41A88" w:rsidRPr="00AC64BA" w:rsidRDefault="00B41A88" w:rsidP="00B41A88">
            <w:pPr>
              <w:suppressAutoHyphens w:val="0"/>
              <w:autoSpaceDE w:val="0"/>
              <w:autoSpaceDN w:val="0"/>
              <w:adjustRightInd w:val="0"/>
              <w:jc w:val="both"/>
              <w:rPr>
                <w:sz w:val="22"/>
                <w:szCs w:val="22"/>
                <w:lang w:eastAsia="pl-PL"/>
              </w:rPr>
            </w:pPr>
            <w:r w:rsidRPr="00AC64BA">
              <w:rPr>
                <w:bCs/>
                <w:sz w:val="22"/>
                <w:szCs w:val="22"/>
              </w:rPr>
              <w:t>Art. 31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3CB5FB3" w14:textId="6E722A4A"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28D437C1" w14:textId="6A6B0CF0" w:rsidR="00B41A88" w:rsidRPr="0078357D" w:rsidRDefault="00B41A88" w:rsidP="00B41A88">
            <w:pPr>
              <w:spacing w:after="200"/>
              <w:contextualSpacing/>
              <w:jc w:val="both"/>
              <w:rPr>
                <w:b/>
                <w:sz w:val="22"/>
                <w:szCs w:val="22"/>
              </w:rPr>
            </w:pPr>
            <w:r w:rsidRPr="0078357D">
              <w:rPr>
                <w:b/>
                <w:sz w:val="22"/>
                <w:szCs w:val="22"/>
              </w:rPr>
              <w:t xml:space="preserve">Ad art. 31 projektu </w:t>
            </w:r>
          </w:p>
          <w:p w14:paraId="0C2EEF94" w14:textId="77777777" w:rsidR="00B41A88" w:rsidRPr="0078357D" w:rsidRDefault="00B41A88" w:rsidP="00B41A88">
            <w:pPr>
              <w:jc w:val="both"/>
              <w:rPr>
                <w:bCs/>
                <w:sz w:val="22"/>
                <w:szCs w:val="22"/>
              </w:rPr>
            </w:pPr>
            <w:r w:rsidRPr="0078357D">
              <w:rPr>
                <w:bCs/>
                <w:sz w:val="22"/>
                <w:szCs w:val="22"/>
              </w:rPr>
              <w:t xml:space="preserve">Przede wszystkim wskazać należy, iż niedopuszczalny jest katalog otwarty czynności niedopuszczalnych. Wraz z innymi przepisami Projektu prowadzi to do całkowitej arbitralności oraz niepewności prawnej. </w:t>
            </w:r>
          </w:p>
          <w:p w14:paraId="7FA9AC25" w14:textId="77777777" w:rsidR="00B41A88" w:rsidRPr="0078357D" w:rsidRDefault="00B41A88" w:rsidP="00B41A88">
            <w:pPr>
              <w:jc w:val="both"/>
              <w:rPr>
                <w:bCs/>
                <w:sz w:val="22"/>
                <w:szCs w:val="22"/>
              </w:rPr>
            </w:pPr>
          </w:p>
          <w:p w14:paraId="2B3E0E2A" w14:textId="77777777" w:rsidR="00B41A88" w:rsidRPr="0078357D" w:rsidRDefault="00B41A88" w:rsidP="00B41A88">
            <w:pPr>
              <w:jc w:val="both"/>
              <w:rPr>
                <w:bCs/>
                <w:sz w:val="22"/>
                <w:szCs w:val="22"/>
              </w:rPr>
            </w:pPr>
            <w:r w:rsidRPr="0078357D">
              <w:rPr>
                <w:bCs/>
                <w:sz w:val="22"/>
                <w:szCs w:val="22"/>
              </w:rPr>
              <w:t xml:space="preserve">Względem art. 31 pkt. 1 Projektu paradoksalne jest, iż z jednej strony Projektodawca chce ograniczyć windykację wyłącznie do godzin pracy, a z drugiej za niedopuszczalne uważa naruszenie prawa do czynności zarobkowych. W sposób oczywisty powstać może tutaj interpretacyjny konflikt. Niezrozumiały jest także kontekst ,,prawa do wypoczynku”. </w:t>
            </w:r>
          </w:p>
          <w:p w14:paraId="06B22B84" w14:textId="77777777" w:rsidR="00B41A88" w:rsidRPr="0078357D" w:rsidRDefault="00B41A88" w:rsidP="00B41A88">
            <w:pPr>
              <w:jc w:val="both"/>
              <w:rPr>
                <w:bCs/>
                <w:sz w:val="22"/>
                <w:szCs w:val="22"/>
              </w:rPr>
            </w:pPr>
          </w:p>
          <w:p w14:paraId="7C3C1AA6" w14:textId="77777777" w:rsidR="00B41A88" w:rsidRPr="0078357D" w:rsidRDefault="00B41A88" w:rsidP="00B41A88">
            <w:pPr>
              <w:jc w:val="both"/>
              <w:rPr>
                <w:bCs/>
                <w:sz w:val="22"/>
                <w:szCs w:val="22"/>
              </w:rPr>
            </w:pPr>
            <w:r w:rsidRPr="0078357D">
              <w:rPr>
                <w:bCs/>
                <w:sz w:val="22"/>
                <w:szCs w:val="22"/>
              </w:rPr>
              <w:t xml:space="preserve">Względem art. 31 pkt. 3 Projektu przedsiębiorstwo windykacyjne powinno mieć możliwość decydowania o możliwości i chęci zorganizowania osobistego spotkania dłużnika z przedstawicielem tego przedsiębiorstwa w jego siedzibie, nadto taki przedstawiciel także powinien mieć możliwość zdecydowania, gdzie dojdzie do spotkania z osobą zobowiązaną, z uwagi choćby na jego potrzebę bezpieczeństwa </w:t>
            </w:r>
            <w:r w:rsidRPr="0078357D">
              <w:rPr>
                <w:bCs/>
                <w:sz w:val="22"/>
                <w:szCs w:val="22"/>
              </w:rPr>
              <w:lastRenderedPageBreak/>
              <w:t xml:space="preserve">(często pracę tę wykonują kobiety, które nie powinny być zmuszane do udziału w spotkaniach w miejscach wskazanych przez dłużnika, które stwarzają dla tych pracowniczek poczucie zagrożenia)- z tego powodu nie powinno być postrzegane jako utrudnianie czy uniemożliwianie spotkania z dłużnikiem odmowa spotkania w miejscu i czasie, który jest nieadekwatny lub stwarza zagrożenie dla pracownika przedsiębiorstwa windykacyjnego. </w:t>
            </w:r>
          </w:p>
          <w:p w14:paraId="28D75F3F" w14:textId="77777777" w:rsidR="00B41A88" w:rsidRPr="0078357D" w:rsidRDefault="00B41A88" w:rsidP="00B41A88">
            <w:pPr>
              <w:jc w:val="both"/>
              <w:rPr>
                <w:bCs/>
                <w:sz w:val="22"/>
                <w:szCs w:val="22"/>
              </w:rPr>
            </w:pPr>
          </w:p>
          <w:p w14:paraId="696DC0FC" w14:textId="77777777" w:rsidR="00B41A88" w:rsidRPr="0078357D" w:rsidRDefault="00B41A88" w:rsidP="00B41A88">
            <w:pPr>
              <w:jc w:val="both"/>
              <w:rPr>
                <w:bCs/>
                <w:sz w:val="22"/>
                <w:szCs w:val="22"/>
              </w:rPr>
            </w:pPr>
            <w:r w:rsidRPr="0078357D">
              <w:rPr>
                <w:bCs/>
                <w:sz w:val="22"/>
                <w:szCs w:val="22"/>
              </w:rPr>
              <w:t xml:space="preserve">Względem art. 31 pkt. 4 wskazać należy, że jest to przepis działający na szkodę dłużnika. Bez wskazanych informacji trudne lub niemożliwe lub nieadekwatne będzie zastosowanie np.: rozłożenia na raty. Ponadto zgodnie z przepisami ustawy o przeciwdziałaniu praniu pieniędzy i finansowaniu terroryzmu jednym z obowiązków w ramach stosowania środków bezpieczeństwa finansowego jest ustalenie źródła majątku klienta i źródła pochodzenia wartości majątkowych pozostających w dyspozycji klienta. </w:t>
            </w:r>
          </w:p>
          <w:p w14:paraId="3291803B" w14:textId="77777777" w:rsidR="00B41A88" w:rsidRPr="0078357D" w:rsidRDefault="00B41A88" w:rsidP="00B41A88">
            <w:pPr>
              <w:jc w:val="both"/>
              <w:rPr>
                <w:bCs/>
                <w:sz w:val="22"/>
                <w:szCs w:val="22"/>
              </w:rPr>
            </w:pPr>
          </w:p>
          <w:p w14:paraId="12F11481" w14:textId="77777777" w:rsidR="00B41A88" w:rsidRPr="0078357D" w:rsidRDefault="00B41A88" w:rsidP="00B41A88">
            <w:pPr>
              <w:jc w:val="both"/>
              <w:rPr>
                <w:bCs/>
                <w:sz w:val="22"/>
                <w:szCs w:val="22"/>
              </w:rPr>
            </w:pPr>
            <w:r w:rsidRPr="0078357D">
              <w:rPr>
                <w:bCs/>
                <w:sz w:val="22"/>
                <w:szCs w:val="22"/>
              </w:rPr>
              <w:t xml:space="preserve">Względem art. 31 pkt. 5 wskazać należy, że wobec daleko idącej niejasności Projektu, zakaz ten pozostaje ,,podwójnie” niejasny (czym jest ,,ustawowy zakres czynności windykacyjnych”?). </w:t>
            </w:r>
          </w:p>
          <w:p w14:paraId="45AC4DC3" w14:textId="77777777" w:rsidR="00B41A88" w:rsidRPr="0078357D" w:rsidRDefault="00B41A88" w:rsidP="00B41A88">
            <w:pPr>
              <w:jc w:val="both"/>
              <w:rPr>
                <w:bCs/>
                <w:sz w:val="22"/>
                <w:szCs w:val="22"/>
              </w:rPr>
            </w:pPr>
          </w:p>
          <w:p w14:paraId="7E3014D1" w14:textId="77777777" w:rsidR="00B41A88" w:rsidRPr="0078357D" w:rsidRDefault="00B41A88" w:rsidP="00B41A88">
            <w:pPr>
              <w:jc w:val="both"/>
              <w:rPr>
                <w:bCs/>
                <w:sz w:val="22"/>
                <w:szCs w:val="22"/>
              </w:rPr>
            </w:pPr>
            <w:r w:rsidRPr="0078357D">
              <w:rPr>
                <w:bCs/>
                <w:sz w:val="22"/>
                <w:szCs w:val="22"/>
              </w:rPr>
              <w:t xml:space="preserve">Względem art. 31 pkt. 6 nie jest możliwym zastosowanie się do wymogu, gdyż nie jest zupełnie zrozumiałe pojęcia słowa ,,nacisk”. Może to paradoksalnie doprowadzić do blokowania jakiejkolwiek sprzedaży dobrowolnej majątku, korzystniejszej niż licytacja komornicza. </w:t>
            </w:r>
          </w:p>
          <w:p w14:paraId="159B941C" w14:textId="77777777" w:rsidR="00B41A88" w:rsidRPr="0078357D" w:rsidRDefault="00B41A88" w:rsidP="00B41A88">
            <w:pPr>
              <w:jc w:val="both"/>
              <w:rPr>
                <w:bCs/>
                <w:sz w:val="22"/>
                <w:szCs w:val="22"/>
              </w:rPr>
            </w:pPr>
          </w:p>
          <w:p w14:paraId="55D45D88" w14:textId="122E8E33" w:rsidR="00B41A88" w:rsidRPr="0078357D" w:rsidRDefault="00B41A88" w:rsidP="00B41A88">
            <w:pPr>
              <w:spacing w:after="200"/>
              <w:contextualSpacing/>
              <w:jc w:val="both"/>
              <w:rPr>
                <w:bCs/>
                <w:sz w:val="22"/>
                <w:szCs w:val="22"/>
              </w:rPr>
            </w:pPr>
            <w:r w:rsidRPr="0078357D">
              <w:rPr>
                <w:bCs/>
                <w:sz w:val="22"/>
                <w:szCs w:val="22"/>
              </w:rPr>
              <w:t>Względem art. 31 pkt. 7 wskazać należy, że nie ma żadnych możliwości ani ustalenia co w danym człowieku wywołuje poczucie strachu, a często nawet czy w danym człowieku właśnie powstało poczucie strachu.</w:t>
            </w:r>
          </w:p>
          <w:p w14:paraId="1F12084E" w14:textId="77777777" w:rsidR="00B41A88" w:rsidRPr="0078357D" w:rsidRDefault="00B41A88" w:rsidP="00B41A88">
            <w:pPr>
              <w:spacing w:after="200"/>
              <w:contextualSpacing/>
              <w:jc w:val="both"/>
              <w:rPr>
                <w:bCs/>
                <w:sz w:val="22"/>
                <w:szCs w:val="22"/>
              </w:rPr>
            </w:pPr>
          </w:p>
          <w:p w14:paraId="4F8927E1" w14:textId="77777777" w:rsidR="00B41A88" w:rsidRPr="0078357D" w:rsidRDefault="00B41A88" w:rsidP="00B41A88">
            <w:pPr>
              <w:jc w:val="both"/>
              <w:rPr>
                <w:bCs/>
                <w:sz w:val="22"/>
                <w:szCs w:val="22"/>
              </w:rPr>
            </w:pPr>
            <w:r w:rsidRPr="0078357D">
              <w:rPr>
                <w:bCs/>
                <w:sz w:val="22"/>
                <w:szCs w:val="22"/>
              </w:rPr>
              <w:t xml:space="preserve">Precyzyjne ustalenia w tym względzie wymagają – bez wcześniejszego katalogowania wrażliwych i kompleksowych danych - umiejętności przekraczających nie tylko zdolności windykatora, ale i w ogóle człowieka. Przepis ten albo będzie w sposób skrajny naruszał prawo do prywatności i prawa człowieka albo będzie w sposób skrajny, za każdym razem, wprowadzał niepewność przy podejmowaniu czynności. Dochodzenie należności z definicji nie należy do czynności łączonych ze szczęściem (wiąże się to z faktem bycia dłużnikiem, koniecznością spłaty itp.), a w przypadku osób wyjątkowo wrażliwych może pojawić się uczucie strachu nawet w przypadku zachowania najwyższych możliwych standardów. Projekt zatem sam kreuje sytuacje w których uniemożliwia spełnienie zawartych w nim obowiązków, zbliżone w skutkach do słynnego paragrafu 22. Należy usunąć komentowany przepis. </w:t>
            </w:r>
          </w:p>
          <w:p w14:paraId="5BCBC56B" w14:textId="77777777" w:rsidR="00B41A88" w:rsidRPr="0078357D" w:rsidRDefault="00B41A88" w:rsidP="00B41A88">
            <w:pPr>
              <w:jc w:val="both"/>
              <w:rPr>
                <w:bCs/>
                <w:sz w:val="22"/>
                <w:szCs w:val="22"/>
              </w:rPr>
            </w:pPr>
          </w:p>
          <w:p w14:paraId="2C231857" w14:textId="11C489CE" w:rsidR="00B41A88" w:rsidRPr="0078357D" w:rsidRDefault="00B41A88" w:rsidP="00B41A88">
            <w:pPr>
              <w:jc w:val="both"/>
              <w:rPr>
                <w:bCs/>
                <w:sz w:val="22"/>
                <w:szCs w:val="22"/>
              </w:rPr>
            </w:pPr>
            <w:r w:rsidRPr="0078357D">
              <w:rPr>
                <w:bCs/>
                <w:sz w:val="22"/>
                <w:szCs w:val="22"/>
              </w:rPr>
              <w:lastRenderedPageBreak/>
              <w:t xml:space="preserve">Względem art. 31 pkt. 9 objawia się brak praktyczności rozwiązania – podczas wizyty w domu dłużnika siłą rzeczy może dojść do kontaktów z rodziną lub osobami bliskimi (np.: otworzenie drzwi, rozpoczęcie rozmowy ze strony członka rodziny itp.).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C30BC6" w14:textId="0DED4EF0" w:rsidR="00B41A88" w:rsidRDefault="00DF2C2F" w:rsidP="00B41A88">
            <w:pPr>
              <w:snapToGrid w:val="0"/>
              <w:rPr>
                <w:b/>
                <w:bCs/>
                <w:sz w:val="22"/>
                <w:szCs w:val="22"/>
              </w:rPr>
            </w:pPr>
            <w:r w:rsidRPr="0093391D">
              <w:rPr>
                <w:b/>
                <w:bCs/>
                <w:sz w:val="22"/>
                <w:szCs w:val="22"/>
              </w:rPr>
              <w:lastRenderedPageBreak/>
              <w:t>Częściowo uwzględniono poprzez zmianę brzmienia przepisu.</w:t>
            </w:r>
          </w:p>
          <w:p w14:paraId="63FA0648" w14:textId="77777777" w:rsidR="00DF2C2F" w:rsidRPr="007749DD" w:rsidRDefault="00DF2C2F" w:rsidP="00B41A88">
            <w:pPr>
              <w:snapToGrid w:val="0"/>
              <w:rPr>
                <w:sz w:val="22"/>
                <w:szCs w:val="22"/>
              </w:rPr>
            </w:pPr>
          </w:p>
          <w:p w14:paraId="596991ED" w14:textId="09CFE1BC" w:rsidR="00B41A88" w:rsidRPr="007749DD" w:rsidRDefault="00B41A88" w:rsidP="00B41A88">
            <w:pPr>
              <w:snapToGrid w:val="0"/>
              <w:rPr>
                <w:sz w:val="22"/>
                <w:szCs w:val="22"/>
              </w:rPr>
            </w:pPr>
          </w:p>
        </w:tc>
      </w:tr>
      <w:tr w:rsidR="00B41A88" w:rsidRPr="007749DD" w14:paraId="0468D834" w14:textId="77777777" w:rsidTr="00873465">
        <w:trPr>
          <w:trHeight w:val="579"/>
          <w:jc w:val="center"/>
        </w:trPr>
        <w:tc>
          <w:tcPr>
            <w:tcW w:w="704" w:type="dxa"/>
            <w:tcBorders>
              <w:top w:val="single" w:sz="4" w:space="0" w:color="000000" w:themeColor="text1"/>
              <w:left w:val="single" w:sz="4" w:space="0" w:color="000000" w:themeColor="text1"/>
              <w:bottom w:val="single" w:sz="4" w:space="0" w:color="000000" w:themeColor="text1"/>
            </w:tcBorders>
          </w:tcPr>
          <w:p w14:paraId="6EF7E056"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366631FD" w14:textId="79E8E2AE" w:rsidR="00B41A88" w:rsidRPr="00AC64BA" w:rsidRDefault="00B41A88" w:rsidP="00B41A88">
            <w:pPr>
              <w:suppressAutoHyphens w:val="0"/>
              <w:autoSpaceDE w:val="0"/>
              <w:autoSpaceDN w:val="0"/>
              <w:adjustRightInd w:val="0"/>
              <w:jc w:val="both"/>
              <w:rPr>
                <w:sz w:val="22"/>
                <w:szCs w:val="22"/>
                <w:lang w:eastAsia="pl-PL"/>
              </w:rPr>
            </w:pPr>
            <w:r w:rsidRPr="00AC64BA">
              <w:rPr>
                <w:bCs/>
                <w:sz w:val="22"/>
                <w:szCs w:val="22"/>
              </w:rPr>
              <w:t>Art. 32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9987C5F" w14:textId="2CCD453B"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764D356D" w14:textId="14FD2805" w:rsidR="00B41A88" w:rsidRPr="00AC64BA" w:rsidRDefault="00B41A88" w:rsidP="00B41A88">
            <w:pPr>
              <w:spacing w:after="200"/>
              <w:contextualSpacing/>
              <w:jc w:val="both"/>
              <w:rPr>
                <w:b/>
                <w:sz w:val="22"/>
                <w:szCs w:val="22"/>
              </w:rPr>
            </w:pPr>
            <w:r w:rsidRPr="00AC64BA">
              <w:rPr>
                <w:b/>
                <w:sz w:val="22"/>
                <w:szCs w:val="22"/>
              </w:rPr>
              <w:t xml:space="preserve">Ad art. 32 projektu </w:t>
            </w:r>
          </w:p>
          <w:p w14:paraId="790E82A6" w14:textId="77777777" w:rsidR="00B41A88" w:rsidRPr="00AC64BA" w:rsidRDefault="00B41A88" w:rsidP="00B41A88">
            <w:pPr>
              <w:jc w:val="both"/>
              <w:rPr>
                <w:bCs/>
                <w:sz w:val="22"/>
                <w:szCs w:val="22"/>
              </w:rPr>
            </w:pPr>
            <w:r w:rsidRPr="00AC64BA">
              <w:rPr>
                <w:bCs/>
                <w:sz w:val="22"/>
                <w:szCs w:val="22"/>
              </w:rPr>
              <w:t xml:space="preserve">Nie jest zrozumiała forma protokołu np.: w jaki sposób protokołować windykację przy użyciu </w:t>
            </w:r>
            <w:proofErr w:type="spellStart"/>
            <w:r w:rsidRPr="00AC64BA">
              <w:rPr>
                <w:bCs/>
                <w:sz w:val="22"/>
                <w:szCs w:val="22"/>
              </w:rPr>
              <w:t>czatbotów</w:t>
            </w:r>
            <w:proofErr w:type="spellEnd"/>
            <w:r w:rsidRPr="00AC64BA">
              <w:rPr>
                <w:bCs/>
                <w:sz w:val="22"/>
                <w:szCs w:val="22"/>
              </w:rPr>
              <w:t xml:space="preserve"> (zapis rozmowy?), </w:t>
            </w:r>
            <w:proofErr w:type="spellStart"/>
            <w:r w:rsidRPr="00AC64BA">
              <w:rPr>
                <w:bCs/>
                <w:sz w:val="22"/>
                <w:szCs w:val="22"/>
              </w:rPr>
              <w:t>telepołączenia</w:t>
            </w:r>
            <w:proofErr w:type="spellEnd"/>
            <w:r w:rsidRPr="00AC64BA">
              <w:rPr>
                <w:bCs/>
                <w:sz w:val="22"/>
                <w:szCs w:val="22"/>
              </w:rPr>
              <w:t xml:space="preserve"> (nagranie rozmowy?) itp. Art. 32 ust. 2 pkt. 10 sugeruje, iż ma być to forma pisemna, ale w takim przypadku prowadzi to do szeregu ograniczeń i jest sprzeczne z trendem </w:t>
            </w:r>
            <w:proofErr w:type="spellStart"/>
            <w:r w:rsidRPr="00AC64BA">
              <w:rPr>
                <w:bCs/>
                <w:sz w:val="22"/>
                <w:szCs w:val="22"/>
              </w:rPr>
              <w:t>paperless</w:t>
            </w:r>
            <w:proofErr w:type="spellEnd"/>
            <w:r w:rsidRPr="00AC64BA">
              <w:rPr>
                <w:bCs/>
                <w:sz w:val="22"/>
                <w:szCs w:val="22"/>
              </w:rPr>
              <w:t xml:space="preserve">. </w:t>
            </w:r>
          </w:p>
          <w:p w14:paraId="3CB71137" w14:textId="77777777" w:rsidR="00B41A88" w:rsidRPr="00AC64BA" w:rsidRDefault="00B41A88" w:rsidP="00B41A88">
            <w:pPr>
              <w:jc w:val="both"/>
              <w:rPr>
                <w:bCs/>
                <w:sz w:val="22"/>
                <w:szCs w:val="22"/>
              </w:rPr>
            </w:pPr>
          </w:p>
          <w:p w14:paraId="561C4F02" w14:textId="77777777" w:rsidR="00B41A88" w:rsidRPr="00AC64BA" w:rsidRDefault="00B41A88" w:rsidP="00B41A88">
            <w:pPr>
              <w:jc w:val="both"/>
              <w:rPr>
                <w:bCs/>
                <w:sz w:val="22"/>
                <w:szCs w:val="22"/>
              </w:rPr>
            </w:pPr>
            <w:r w:rsidRPr="00AC64BA">
              <w:rPr>
                <w:bCs/>
                <w:sz w:val="22"/>
                <w:szCs w:val="22"/>
              </w:rPr>
              <w:t>Oficjalne odczytywanie protokołów funkcjonuje w praktyce działania kancelarii notarialnych oraz w toku postępowania karnego, a więc w najbardziej sformalizowanych procedurach. Regulacja może ponadto wprowadzać w błąd konsumenta, że ma do czynienia z organem egzekucyjnym, a nie windykatorem, zatem jest to sprzeczne z założeniem projektu, aby nie tworzyć nowej korporacji zawodowej quasi komorników sądowych. Ponadto powstaje szereg wątpliwości np.: nie można zmusić dłużnika do stosownego oświadczenia w pkt. 7, jak również nie wiadomo zgodnie z pkt. 8 jak odczytać protokół jeśli będzie miał on inną formę niż papierowa oraz czy ma być odczytany w czasie rozmowy telefonicznej.</w:t>
            </w:r>
          </w:p>
          <w:p w14:paraId="170FEC60" w14:textId="77777777" w:rsidR="00B41A88" w:rsidRPr="00AC64BA" w:rsidRDefault="00B41A88" w:rsidP="00B41A88">
            <w:pPr>
              <w:jc w:val="both"/>
              <w:rPr>
                <w:bCs/>
                <w:sz w:val="22"/>
                <w:szCs w:val="22"/>
              </w:rPr>
            </w:pPr>
          </w:p>
          <w:p w14:paraId="58EBE0E3" w14:textId="77777777" w:rsidR="00B41A88" w:rsidRPr="00AC64BA" w:rsidRDefault="00B41A88" w:rsidP="00B41A88">
            <w:pPr>
              <w:jc w:val="both"/>
              <w:rPr>
                <w:bCs/>
                <w:sz w:val="22"/>
                <w:szCs w:val="22"/>
              </w:rPr>
            </w:pPr>
            <w:r w:rsidRPr="00AC64BA">
              <w:rPr>
                <w:bCs/>
                <w:sz w:val="22"/>
                <w:szCs w:val="22"/>
              </w:rPr>
              <w:t xml:space="preserve">Formuła protokołu powinna zostać zastąpiona notatką o elastycznej formie, minimalnej treści i bez konieczności odczytywania lecz z możliwością zapoznania się z nią. </w:t>
            </w:r>
          </w:p>
          <w:p w14:paraId="6C1F3F47" w14:textId="77777777" w:rsidR="00B41A88" w:rsidRPr="00AC64BA" w:rsidRDefault="00B41A88" w:rsidP="00B41A88">
            <w:pPr>
              <w:jc w:val="both"/>
              <w:rPr>
                <w:bCs/>
                <w:sz w:val="22"/>
                <w:szCs w:val="22"/>
              </w:rPr>
            </w:pPr>
          </w:p>
          <w:p w14:paraId="39E80A99" w14:textId="5A7A60D2" w:rsidR="00B41A88" w:rsidRPr="00AC64BA" w:rsidRDefault="00B41A88" w:rsidP="00B41A88">
            <w:pPr>
              <w:jc w:val="both"/>
              <w:rPr>
                <w:bCs/>
                <w:sz w:val="22"/>
                <w:szCs w:val="22"/>
              </w:rPr>
            </w:pPr>
            <w:r w:rsidRPr="00AC64BA">
              <w:rPr>
                <w:bCs/>
                <w:sz w:val="22"/>
                <w:szCs w:val="22"/>
              </w:rPr>
              <w:t>Względem art. 32 ust. 4 Projektu wskazać należy, iż Projektodawca z jednej strony tworzy ograniczenie i obowiązek (nagrywanie rozmów), z drugiej natomiast możliwość zakończenia połączenia z powodu realizacji ustawowego obowiązku. Jest to niekonsekwencja. Gdy istnieje ustawowy obowiązek nagrywania rozmów, osoba, z którą rozmowa jest prowadzona nie powinna mieć możliwości niewyrażenia na to zgody.</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EB715E" w14:textId="160D8E21" w:rsidR="00B41A88" w:rsidRPr="007749DD" w:rsidRDefault="00DF2C2F" w:rsidP="00B41A88">
            <w:pPr>
              <w:snapToGrid w:val="0"/>
              <w:rPr>
                <w:sz w:val="22"/>
                <w:szCs w:val="22"/>
              </w:rPr>
            </w:pPr>
            <w:r w:rsidRPr="0093391D">
              <w:rPr>
                <w:b/>
                <w:bCs/>
                <w:sz w:val="22"/>
                <w:szCs w:val="22"/>
              </w:rPr>
              <w:t>Częściowo uwzględniono poprzez zmianę brzmienia przepisu.</w:t>
            </w:r>
          </w:p>
        </w:tc>
      </w:tr>
      <w:tr w:rsidR="00B41A88" w:rsidRPr="007749DD" w14:paraId="34B7859B" w14:textId="77777777" w:rsidTr="00873465">
        <w:trPr>
          <w:trHeight w:val="579"/>
          <w:jc w:val="center"/>
        </w:trPr>
        <w:tc>
          <w:tcPr>
            <w:tcW w:w="704" w:type="dxa"/>
            <w:tcBorders>
              <w:top w:val="single" w:sz="4" w:space="0" w:color="000000" w:themeColor="text1"/>
              <w:left w:val="single" w:sz="4" w:space="0" w:color="000000" w:themeColor="text1"/>
              <w:bottom w:val="single" w:sz="4" w:space="0" w:color="000000" w:themeColor="text1"/>
            </w:tcBorders>
          </w:tcPr>
          <w:p w14:paraId="32155D47"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78A84CEC" w14:textId="3D6CDE09" w:rsidR="00B41A88" w:rsidRPr="00AC64BA" w:rsidRDefault="00B41A88" w:rsidP="00B41A88">
            <w:pPr>
              <w:suppressAutoHyphens w:val="0"/>
              <w:autoSpaceDE w:val="0"/>
              <w:autoSpaceDN w:val="0"/>
              <w:adjustRightInd w:val="0"/>
              <w:jc w:val="both"/>
              <w:rPr>
                <w:sz w:val="22"/>
                <w:szCs w:val="22"/>
                <w:lang w:eastAsia="pl-PL"/>
              </w:rPr>
            </w:pPr>
            <w:r w:rsidRPr="00AC64BA">
              <w:rPr>
                <w:bCs/>
                <w:sz w:val="22"/>
                <w:szCs w:val="22"/>
              </w:rPr>
              <w:t>Art. 33</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6B9BFBA8" w14:textId="59E5B515"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148ED657" w14:textId="1EA1C1A6" w:rsidR="00B41A88" w:rsidRPr="0078357D" w:rsidRDefault="00B41A88" w:rsidP="00B41A88">
            <w:pPr>
              <w:spacing w:after="200"/>
              <w:contextualSpacing/>
              <w:jc w:val="both"/>
              <w:rPr>
                <w:b/>
                <w:sz w:val="22"/>
                <w:szCs w:val="22"/>
              </w:rPr>
            </w:pPr>
            <w:r w:rsidRPr="0078357D">
              <w:rPr>
                <w:b/>
                <w:sz w:val="22"/>
                <w:szCs w:val="22"/>
              </w:rPr>
              <w:t xml:space="preserve">Ad art. 33 projektu </w:t>
            </w:r>
          </w:p>
          <w:p w14:paraId="5A125B09" w14:textId="63F50A86" w:rsidR="00B41A88" w:rsidRPr="0078357D" w:rsidRDefault="00B41A88" w:rsidP="00B41A88">
            <w:pPr>
              <w:jc w:val="both"/>
              <w:rPr>
                <w:bCs/>
                <w:sz w:val="22"/>
                <w:szCs w:val="22"/>
              </w:rPr>
            </w:pPr>
            <w:r w:rsidRPr="0078357D">
              <w:rPr>
                <w:bCs/>
                <w:sz w:val="22"/>
                <w:szCs w:val="22"/>
              </w:rPr>
              <w:t xml:space="preserve">Po pierwsze należy wprost wskazać, że akta windykacyjne mogą mieć różną formę, w tym elektroniczną. Po drugie, akta powinny być prowadzone dla sprawy, a nie dla danej osoby.  Po trzecie, przepis zawiera rozwiązania biurokratyczne np.: konieczność tworzenia zapisu rozmowy już przecież nagranej. Względem art. 33 ust. 3 pkt. 1 nie jest zrozumiałym czym jest forma pisemna w postaci elektronicznej. Względem art. 33 ust. 3 pkt. 2 nie są z kolei wskazane żadne standardy (np.: jak długo, zlecenie czynności) przechowywania dokumentacji. Poza tym ,,dokumentacja dotycząca zatrudnianych windykatorów oraz realizowanych czynności windykacyjnych” w formie papierowej to generowanie ogromnych kosztów, rozwiązanie </w:t>
            </w:r>
            <w:proofErr w:type="spellStart"/>
            <w:r w:rsidRPr="0078357D">
              <w:rPr>
                <w:bCs/>
                <w:sz w:val="22"/>
                <w:szCs w:val="22"/>
              </w:rPr>
              <w:t>antyśrodowiskowe</w:t>
            </w:r>
            <w:proofErr w:type="spellEnd"/>
            <w:r w:rsidRPr="0078357D">
              <w:rPr>
                <w:bCs/>
                <w:sz w:val="22"/>
                <w:szCs w:val="22"/>
              </w:rPr>
              <w:t xml:space="preserve"> i zbędne z </w:t>
            </w:r>
            <w:r w:rsidRPr="0078357D">
              <w:rPr>
                <w:bCs/>
                <w:sz w:val="22"/>
                <w:szCs w:val="22"/>
              </w:rPr>
              <w:lastRenderedPageBreak/>
              <w:t xml:space="preserve">perspektywy obiegu dokumentów, czy przetwarzania danych. Nie do końca także jasne jest czym jest dokumentacja dotycząca realizowanych czynności windykacyjnych.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3B3D9E" w14:textId="2BAA3635" w:rsidR="00B41A88" w:rsidRPr="007749DD" w:rsidRDefault="00DF2C2F" w:rsidP="00B41A88">
            <w:pPr>
              <w:snapToGrid w:val="0"/>
              <w:rPr>
                <w:sz w:val="22"/>
                <w:szCs w:val="22"/>
              </w:rPr>
            </w:pPr>
            <w:r w:rsidRPr="0093391D">
              <w:rPr>
                <w:b/>
                <w:bCs/>
                <w:sz w:val="22"/>
                <w:szCs w:val="22"/>
              </w:rPr>
              <w:lastRenderedPageBreak/>
              <w:t>Częściowo uwzględniono poprzez zmianę brzmienia przepisu.</w:t>
            </w:r>
          </w:p>
        </w:tc>
      </w:tr>
      <w:tr w:rsidR="00B41A88" w:rsidRPr="007749DD" w14:paraId="4FB929D8"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52AC27A0"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3179166B" w14:textId="623D4F1C" w:rsidR="00B41A88" w:rsidRPr="00AC64BA" w:rsidRDefault="00B41A88" w:rsidP="00B41A88">
            <w:pPr>
              <w:suppressAutoHyphens w:val="0"/>
              <w:autoSpaceDE w:val="0"/>
              <w:autoSpaceDN w:val="0"/>
              <w:adjustRightInd w:val="0"/>
              <w:jc w:val="both"/>
              <w:rPr>
                <w:sz w:val="22"/>
                <w:szCs w:val="22"/>
                <w:lang w:eastAsia="pl-PL"/>
              </w:rPr>
            </w:pPr>
            <w:r w:rsidRPr="00AC64BA">
              <w:rPr>
                <w:bCs/>
                <w:sz w:val="22"/>
                <w:szCs w:val="22"/>
              </w:rPr>
              <w:t>Art. 34</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0D5DD2ED" w14:textId="5C60DFDD"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6510D87C" w14:textId="14C1600F" w:rsidR="00B41A88" w:rsidRPr="0078357D" w:rsidRDefault="00B41A88" w:rsidP="00B41A88">
            <w:pPr>
              <w:spacing w:after="200"/>
              <w:contextualSpacing/>
              <w:jc w:val="both"/>
              <w:rPr>
                <w:b/>
                <w:sz w:val="22"/>
                <w:szCs w:val="22"/>
              </w:rPr>
            </w:pPr>
            <w:r w:rsidRPr="0078357D">
              <w:rPr>
                <w:b/>
                <w:sz w:val="22"/>
                <w:szCs w:val="22"/>
              </w:rPr>
              <w:t xml:space="preserve">Ad art. 34 projektu </w:t>
            </w:r>
          </w:p>
          <w:p w14:paraId="7940672A" w14:textId="77777777" w:rsidR="00B41A88" w:rsidRPr="0078357D" w:rsidRDefault="00B41A88" w:rsidP="00B41A88">
            <w:pPr>
              <w:jc w:val="both"/>
              <w:rPr>
                <w:bCs/>
                <w:sz w:val="22"/>
                <w:szCs w:val="22"/>
              </w:rPr>
            </w:pPr>
            <w:r w:rsidRPr="0078357D">
              <w:rPr>
                <w:bCs/>
                <w:sz w:val="22"/>
                <w:szCs w:val="22"/>
              </w:rPr>
              <w:t xml:space="preserve">Względem art. 34 pkt. 1 wskazać należy na nową tajemnicę zawodową, bez wskazania np.: sytuacji odstąpienia od niej, co może utrudnić współpracę z innymi przedsiębiorcami. </w:t>
            </w:r>
          </w:p>
          <w:p w14:paraId="36C2BD21" w14:textId="77777777" w:rsidR="00B41A88" w:rsidRPr="0078357D" w:rsidRDefault="00B41A88" w:rsidP="00B41A88">
            <w:pPr>
              <w:jc w:val="both"/>
              <w:rPr>
                <w:bCs/>
                <w:sz w:val="22"/>
                <w:szCs w:val="22"/>
              </w:rPr>
            </w:pPr>
          </w:p>
          <w:p w14:paraId="67DE7307" w14:textId="77777777" w:rsidR="00B41A88" w:rsidRPr="0078357D" w:rsidRDefault="00B41A88" w:rsidP="00B41A88">
            <w:pPr>
              <w:jc w:val="both"/>
              <w:rPr>
                <w:bCs/>
                <w:sz w:val="22"/>
                <w:szCs w:val="22"/>
              </w:rPr>
            </w:pPr>
            <w:r w:rsidRPr="0078357D">
              <w:rPr>
                <w:bCs/>
                <w:sz w:val="22"/>
                <w:szCs w:val="22"/>
              </w:rPr>
              <w:t xml:space="preserve">Względem art. 34 pkt. 2 lit. b) wskazać należy, iż nie wiadomo co oznacza ,,ustalanie kosztów działalności windykacyjnej w nieuzasadnionej wysokości”. Jaki jest punkt odniesienia i kto miałby go oceniać? Przepis jest sprzeczny z gospodarczym ustrojem Polski. Względem art. 34 pkt. 2 lit. a) oznaczałoby to m.in. absolutny zakaz reklamy, organizowania wydarzeń promocyjnych czy edukacyjnych i nie ma żadnego związku z nieuczciwą konkurencją. </w:t>
            </w:r>
          </w:p>
          <w:p w14:paraId="5BEFBDCA" w14:textId="77777777" w:rsidR="00B41A88" w:rsidRPr="0078357D" w:rsidRDefault="00B41A88" w:rsidP="00B41A88">
            <w:pPr>
              <w:jc w:val="both"/>
              <w:rPr>
                <w:bCs/>
                <w:sz w:val="22"/>
                <w:szCs w:val="22"/>
              </w:rPr>
            </w:pPr>
          </w:p>
          <w:p w14:paraId="63718F95" w14:textId="3F2C8072" w:rsidR="00B41A88" w:rsidRPr="0078357D" w:rsidRDefault="00B41A88" w:rsidP="00B41A88">
            <w:pPr>
              <w:jc w:val="both"/>
              <w:rPr>
                <w:bCs/>
                <w:sz w:val="22"/>
                <w:szCs w:val="22"/>
              </w:rPr>
            </w:pPr>
            <w:r w:rsidRPr="0078357D">
              <w:rPr>
                <w:bCs/>
                <w:sz w:val="22"/>
                <w:szCs w:val="22"/>
              </w:rPr>
              <w:t xml:space="preserve">Wobec poważnych wątpliwości i negatywnych skutków, art. 34 Projektu powinien zostać wykreślony.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9E3DE5" w14:textId="0AD98C5C" w:rsidR="00DF2C2F" w:rsidRPr="007749DD" w:rsidRDefault="00F03E10" w:rsidP="00B41A88">
            <w:pPr>
              <w:snapToGrid w:val="0"/>
              <w:rPr>
                <w:sz w:val="22"/>
                <w:szCs w:val="22"/>
              </w:rPr>
            </w:pPr>
            <w:r w:rsidRPr="0093391D">
              <w:rPr>
                <w:b/>
                <w:bCs/>
                <w:sz w:val="22"/>
                <w:szCs w:val="22"/>
              </w:rPr>
              <w:t>Częściowo uwzględniono poprzez zmianę brzmienia przepisu</w:t>
            </w:r>
            <w:r>
              <w:rPr>
                <w:b/>
                <w:bCs/>
                <w:sz w:val="22"/>
                <w:szCs w:val="22"/>
              </w:rPr>
              <w:t>. Z nowego brzmienia przepisu wynika, iż tajemnica, o której mowa w tym przepisie jest tajemnicą zawodową.</w:t>
            </w:r>
          </w:p>
        </w:tc>
      </w:tr>
      <w:tr w:rsidR="00B41A88" w:rsidRPr="007749DD" w14:paraId="2D2E8961"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4438BAE9"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4F676086" w14:textId="54C09961" w:rsidR="00B41A88" w:rsidRPr="00AC64BA" w:rsidRDefault="00B41A88" w:rsidP="00B41A88">
            <w:pPr>
              <w:suppressAutoHyphens w:val="0"/>
              <w:autoSpaceDE w:val="0"/>
              <w:autoSpaceDN w:val="0"/>
              <w:adjustRightInd w:val="0"/>
              <w:jc w:val="both"/>
              <w:rPr>
                <w:sz w:val="22"/>
                <w:szCs w:val="22"/>
                <w:lang w:eastAsia="pl-PL"/>
              </w:rPr>
            </w:pPr>
            <w:r w:rsidRPr="00AC64BA">
              <w:rPr>
                <w:bCs/>
                <w:sz w:val="22"/>
                <w:szCs w:val="22"/>
              </w:rPr>
              <w:t>Art. 35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4BEED363" w14:textId="0B78F715"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7BC8F022" w14:textId="4DCC7E7F" w:rsidR="00B41A88" w:rsidRPr="0078357D" w:rsidRDefault="00B41A88" w:rsidP="00B41A88">
            <w:pPr>
              <w:spacing w:after="200"/>
              <w:contextualSpacing/>
              <w:jc w:val="both"/>
              <w:rPr>
                <w:b/>
                <w:sz w:val="22"/>
                <w:szCs w:val="22"/>
              </w:rPr>
            </w:pPr>
            <w:r w:rsidRPr="0078357D">
              <w:rPr>
                <w:b/>
                <w:sz w:val="22"/>
                <w:szCs w:val="22"/>
              </w:rPr>
              <w:t xml:space="preserve">Ad art. 35 projektu </w:t>
            </w:r>
          </w:p>
          <w:p w14:paraId="5004516D" w14:textId="77777777" w:rsidR="00B41A88" w:rsidRPr="0078357D" w:rsidRDefault="00B41A88" w:rsidP="00B41A88">
            <w:pPr>
              <w:jc w:val="both"/>
              <w:rPr>
                <w:bCs/>
                <w:sz w:val="22"/>
                <w:szCs w:val="22"/>
              </w:rPr>
            </w:pPr>
            <w:r w:rsidRPr="0078357D">
              <w:rPr>
                <w:bCs/>
                <w:sz w:val="22"/>
                <w:szCs w:val="22"/>
              </w:rPr>
              <w:t xml:space="preserve">Przede wszystkim rekomendowane jest zrezygnowanie ze wskazanej listy i usunięcie art. 35 Projektu. Dotychczasowa praktyka np.: kontrole UOKiK wykazała, że regulator może otrzymać pełną informację na podstawie danych zawartych w systemach wierzyciela lub przedsiębiorstwa windykacyjnego. Dodatkowo dla każdej sprawy są prowadzone akta, więc w razie konieczności podania szczegółów, jest możliwość wyciągnięcia tych informacji. Tworzenie wskazanej listy byłoby dodatkowo budzące poważne wątpliwości z perspektywy ochrony danych osobowych. </w:t>
            </w:r>
          </w:p>
          <w:p w14:paraId="50B497F1" w14:textId="77777777" w:rsidR="00B41A88" w:rsidRPr="0078357D" w:rsidRDefault="00B41A88" w:rsidP="00B41A88">
            <w:pPr>
              <w:jc w:val="both"/>
              <w:rPr>
                <w:bCs/>
                <w:sz w:val="22"/>
                <w:szCs w:val="22"/>
              </w:rPr>
            </w:pPr>
          </w:p>
          <w:p w14:paraId="24306D96" w14:textId="4564AC0C" w:rsidR="00B41A88" w:rsidRPr="0078357D" w:rsidRDefault="00B41A88" w:rsidP="00B41A88">
            <w:pPr>
              <w:jc w:val="both"/>
              <w:rPr>
                <w:bCs/>
                <w:sz w:val="22"/>
                <w:szCs w:val="22"/>
              </w:rPr>
            </w:pPr>
            <w:r w:rsidRPr="0078357D">
              <w:rPr>
                <w:bCs/>
                <w:sz w:val="22"/>
                <w:szCs w:val="22"/>
              </w:rPr>
              <w:t xml:space="preserve">Minimalnym rozwiązaniem, biorąc pod uwagę tysiące lub miliony spraw prowadzonych przez przedsiębiorstwa windykacyjne oraz cel ,,listy” jakim jest łatwy dostęp do spisu spraw, jest to, iż lista powinna być prowadzona i przekazywana elektronicznie, a także ograniczona do oznaczenia akt i danych osoby zobowiązanej.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7D799D" w14:textId="1EE61E93" w:rsidR="00B41A88" w:rsidRPr="00873465" w:rsidRDefault="00777000" w:rsidP="00B41A88">
            <w:pPr>
              <w:snapToGrid w:val="0"/>
              <w:rPr>
                <w:b/>
                <w:bCs/>
                <w:sz w:val="22"/>
                <w:szCs w:val="22"/>
              </w:rPr>
            </w:pPr>
            <w:r w:rsidRPr="00873465">
              <w:rPr>
                <w:b/>
                <w:bCs/>
                <w:sz w:val="22"/>
                <w:szCs w:val="22"/>
              </w:rPr>
              <w:t>Nie uwzględniono</w:t>
            </w:r>
            <w:r w:rsidR="00873465">
              <w:rPr>
                <w:b/>
                <w:bCs/>
                <w:sz w:val="22"/>
                <w:szCs w:val="22"/>
              </w:rPr>
              <w:t>.</w:t>
            </w:r>
          </w:p>
          <w:p w14:paraId="70E8C731" w14:textId="64D99714" w:rsidR="00777000" w:rsidRPr="007749DD" w:rsidRDefault="00777000" w:rsidP="00873465">
            <w:pPr>
              <w:snapToGrid w:val="0"/>
              <w:jc w:val="both"/>
              <w:rPr>
                <w:sz w:val="22"/>
                <w:szCs w:val="22"/>
              </w:rPr>
            </w:pPr>
            <w:r>
              <w:rPr>
                <w:sz w:val="22"/>
                <w:szCs w:val="22"/>
              </w:rPr>
              <w:t>Powyższe rozwiązanie ma zapewnić skuteczną kontrolę nad działalno</w:t>
            </w:r>
            <w:r w:rsidR="00873465">
              <w:rPr>
                <w:sz w:val="22"/>
                <w:szCs w:val="22"/>
              </w:rPr>
              <w:t>ś</w:t>
            </w:r>
            <w:r>
              <w:rPr>
                <w:sz w:val="22"/>
                <w:szCs w:val="22"/>
              </w:rPr>
              <w:t>cią przedsiębiorstw windykacyjnych. Rozwiązanie nie może budzić wątpliwości z punktu widzenia ochrony danych osobowych, gdyż wskazuje jedynie na sposób dostępu do danych, do których przetwarzania przedsiębio</w:t>
            </w:r>
            <w:r w:rsidR="00873465">
              <w:rPr>
                <w:sz w:val="22"/>
                <w:szCs w:val="22"/>
              </w:rPr>
              <w:t>r</w:t>
            </w:r>
            <w:r>
              <w:rPr>
                <w:sz w:val="22"/>
                <w:szCs w:val="22"/>
              </w:rPr>
              <w:t xml:space="preserve">stwa windykacyjne są upoważnione. </w:t>
            </w:r>
          </w:p>
        </w:tc>
      </w:tr>
      <w:tr w:rsidR="00B41A88" w:rsidRPr="007749DD" w14:paraId="3A53D9E5"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1E65E58E"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46244B28" w14:textId="77777777" w:rsidR="00B41A88" w:rsidRPr="00AC64BA" w:rsidRDefault="00B41A88" w:rsidP="00B41A88">
            <w:pPr>
              <w:suppressAutoHyphens w:val="0"/>
              <w:autoSpaceDE w:val="0"/>
              <w:autoSpaceDN w:val="0"/>
              <w:adjustRightInd w:val="0"/>
              <w:jc w:val="both"/>
              <w:rPr>
                <w:sz w:val="22"/>
                <w:szCs w:val="22"/>
                <w:lang w:eastAsia="pl-PL"/>
              </w:rPr>
            </w:pP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9641DD0" w14:textId="3AAB9348"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50208096" w14:textId="2E776A62" w:rsidR="00B41A88" w:rsidRPr="0078357D" w:rsidRDefault="00B41A88" w:rsidP="00B41A88">
            <w:pPr>
              <w:spacing w:after="200"/>
              <w:contextualSpacing/>
              <w:jc w:val="both"/>
              <w:rPr>
                <w:b/>
                <w:sz w:val="22"/>
                <w:szCs w:val="22"/>
              </w:rPr>
            </w:pPr>
            <w:r w:rsidRPr="0078357D">
              <w:rPr>
                <w:b/>
                <w:sz w:val="22"/>
                <w:szCs w:val="22"/>
              </w:rPr>
              <w:t xml:space="preserve">Ad. Rozdział 5 ,,Nadzór nad przedsiębiorstwami windykacyjnymi i windykatorami” (art. 36-51 projektu) oraz art. 57 projektu </w:t>
            </w:r>
          </w:p>
          <w:p w14:paraId="09F1D1CA" w14:textId="77777777" w:rsidR="00B41A88" w:rsidRPr="00ED128D" w:rsidRDefault="00B41A88" w:rsidP="00B41A88">
            <w:pPr>
              <w:jc w:val="both"/>
              <w:rPr>
                <w:bCs/>
                <w:sz w:val="22"/>
                <w:szCs w:val="22"/>
              </w:rPr>
            </w:pPr>
          </w:p>
          <w:p w14:paraId="45B56161" w14:textId="00B57A3E" w:rsidR="00B41A88" w:rsidRPr="0078357D" w:rsidRDefault="00B41A88" w:rsidP="00B41A88">
            <w:pPr>
              <w:spacing w:after="200"/>
              <w:contextualSpacing/>
              <w:jc w:val="both"/>
              <w:rPr>
                <w:bCs/>
                <w:sz w:val="22"/>
                <w:szCs w:val="22"/>
              </w:rPr>
            </w:pPr>
            <w:r w:rsidRPr="0078357D">
              <w:rPr>
                <w:bCs/>
                <w:sz w:val="22"/>
                <w:szCs w:val="22"/>
              </w:rPr>
              <w:t xml:space="preserve">Chaos kompetencyjny: Projekt tworzy niejasny podział nadzoru, pomiędzy KNF, wojewodę, a ministra właściwego do spraw gospodarki. Ponadto występujące też jeszcze inne podmioty, np.: w związku z AML Generalny Inspektor Informacji Finansowej. Wskazany w rozdziale 5-tym podział kompetencji jest nieprecyzyjny np.: wskazany minister poprzez odwołanie się do zakresu Projektu oraz KNF poprzez odwołanie się do ustawy z dnia 21 lipca 2006 r. o nadzorze nad rynkiem finansowym oraz art. 47 Projektu mogą mieć konflikt kompetencji w zakresie prawidłowego funkcjonowania </w:t>
            </w:r>
            <w:r w:rsidRPr="0078357D">
              <w:rPr>
                <w:bCs/>
                <w:sz w:val="22"/>
                <w:szCs w:val="22"/>
              </w:rPr>
              <w:lastRenderedPageBreak/>
              <w:t xml:space="preserve">przedsiębiorstw windykacyjnych oraz ochrony interesów osób zobowiązanych, przy czym w stosunku do tej ostatniej grupy podmiotów dochodzą również kompetencje m.in. UOKiK. Skutkiem takich rozwiązań może być dublowanie: uczestnictwa w postępowaniu, kar, nakładów pracy itp. </w:t>
            </w:r>
          </w:p>
          <w:p w14:paraId="5A65948A" w14:textId="77777777" w:rsidR="00B41A88" w:rsidRPr="0078357D" w:rsidRDefault="00B41A88" w:rsidP="00B41A88">
            <w:pPr>
              <w:jc w:val="both"/>
              <w:rPr>
                <w:bCs/>
                <w:sz w:val="22"/>
                <w:szCs w:val="22"/>
              </w:rPr>
            </w:pPr>
          </w:p>
          <w:p w14:paraId="0600533E" w14:textId="77777777" w:rsidR="00B41A88" w:rsidRPr="0078357D" w:rsidRDefault="00B41A88" w:rsidP="00B41A88">
            <w:pPr>
              <w:jc w:val="both"/>
              <w:rPr>
                <w:bCs/>
                <w:sz w:val="22"/>
                <w:szCs w:val="22"/>
              </w:rPr>
            </w:pPr>
            <w:r w:rsidRPr="0078357D">
              <w:rPr>
                <w:bCs/>
                <w:sz w:val="22"/>
                <w:szCs w:val="22"/>
              </w:rPr>
              <w:t xml:space="preserve">Po pierwsze, należy zatem usunąć z zakresu art. 47 i 49 Projektu odpowiedzialność za naruszenie interesów osób zobowiązanych aby zmniejszyć ryzyko dublowania kompetencji, po drugie przeanalizować dokładnie zakresy pokrywających się kompetencji, czego w Projekcie nie uczyniono (m.in. różnica pomiędzy zapewnieniem prawidłowego funkcjonowania przedsiębiorstw windykacyjnych ujętym w art. 47, a nadzorem nad działalnością przedsiębiorstw windykacyjnych ujętym w art. 36 ust. 1 Projektu). </w:t>
            </w:r>
          </w:p>
          <w:p w14:paraId="55863495" w14:textId="77777777" w:rsidR="00B41A88" w:rsidRPr="0078357D" w:rsidRDefault="00B41A88" w:rsidP="00B41A88">
            <w:pPr>
              <w:pStyle w:val="Akapitzlist"/>
              <w:jc w:val="both"/>
              <w:rPr>
                <w:bCs/>
                <w:sz w:val="22"/>
                <w:szCs w:val="22"/>
              </w:rPr>
            </w:pPr>
          </w:p>
          <w:p w14:paraId="189C27C6" w14:textId="77777777" w:rsidR="00B41A88" w:rsidRPr="0078357D" w:rsidRDefault="00B41A88" w:rsidP="00B41A88">
            <w:pPr>
              <w:spacing w:after="200"/>
              <w:contextualSpacing/>
              <w:jc w:val="both"/>
              <w:rPr>
                <w:bCs/>
                <w:sz w:val="22"/>
                <w:szCs w:val="22"/>
              </w:rPr>
            </w:pPr>
            <w:r w:rsidRPr="0078357D">
              <w:rPr>
                <w:bCs/>
                <w:sz w:val="22"/>
                <w:szCs w:val="22"/>
              </w:rPr>
              <w:t xml:space="preserve">Niejasność w zakresie zarządzania wierzytelnościami </w:t>
            </w:r>
            <w:proofErr w:type="spellStart"/>
            <w:r w:rsidRPr="0078357D">
              <w:rPr>
                <w:bCs/>
                <w:sz w:val="22"/>
                <w:szCs w:val="22"/>
              </w:rPr>
              <w:t>sekurytyzowanymi</w:t>
            </w:r>
            <w:proofErr w:type="spellEnd"/>
            <w:r w:rsidRPr="0078357D">
              <w:rPr>
                <w:bCs/>
                <w:sz w:val="22"/>
                <w:szCs w:val="22"/>
              </w:rPr>
              <w:t xml:space="preserve">: Jednocześnie w przypadku nadzoru sprawowanego przez KNF, nie należy zapominać o tym, że część podmiotów, które będą spełniać ustawowe przesłanki do bycia przedsiębiorstwem windykacyjnym posiada zezwolenie na zarządzanie wierzytelnościami </w:t>
            </w:r>
            <w:proofErr w:type="spellStart"/>
            <w:r w:rsidRPr="0078357D">
              <w:rPr>
                <w:bCs/>
                <w:sz w:val="22"/>
                <w:szCs w:val="22"/>
              </w:rPr>
              <w:t>sekurytyzowanymi</w:t>
            </w:r>
            <w:proofErr w:type="spellEnd"/>
            <w:r w:rsidRPr="0078357D">
              <w:rPr>
                <w:bCs/>
                <w:sz w:val="22"/>
                <w:szCs w:val="22"/>
              </w:rPr>
              <w:t xml:space="preserve">. Powyższe rodzi obawę, że te podmioty byłyby nadzorowane przez Komisję Nadzoru Finansowego w oparciu o dwie podstawy prawne, co wydaje się nieuzasadnione i nadmiarowe. W tym miejscu należy zwrócić uwagę na brak precyzji, co do tego, czy firmy, które obecnie posiadają zezwolenie na zarządzanie wierzytelnościami </w:t>
            </w:r>
            <w:proofErr w:type="spellStart"/>
            <w:r w:rsidRPr="0078357D">
              <w:rPr>
                <w:bCs/>
                <w:sz w:val="22"/>
                <w:szCs w:val="22"/>
              </w:rPr>
              <w:t>sekurytyzowanymi</w:t>
            </w:r>
            <w:proofErr w:type="spellEnd"/>
            <w:r w:rsidRPr="0078357D">
              <w:rPr>
                <w:bCs/>
                <w:sz w:val="22"/>
                <w:szCs w:val="22"/>
              </w:rPr>
              <w:t xml:space="preserve"> wydawane przez KNF będą musiały uzyskać kolejne pozwolenie na prowadzenie działalności, która </w:t>
            </w:r>
            <w:r w:rsidRPr="0078357D">
              <w:rPr>
                <w:bCs/>
                <w:i/>
                <w:iCs/>
                <w:sz w:val="22"/>
                <w:szCs w:val="22"/>
              </w:rPr>
              <w:t xml:space="preserve">de facto </w:t>
            </w:r>
            <w:r w:rsidRPr="0078357D">
              <w:rPr>
                <w:bCs/>
                <w:sz w:val="22"/>
                <w:szCs w:val="22"/>
              </w:rPr>
              <w:t xml:space="preserve">jest objęta zezwoleniem przewidzianym przez art. 192 Ustawy o funduszach inwestycyjnych i zarządzaniu alternatywnymi funduszami inwestycyjnymi. Rozwiązaniem minimum powinno być zatem ograniczenie konieczności dublowania zezwoleń. </w:t>
            </w:r>
          </w:p>
          <w:p w14:paraId="39AEA322" w14:textId="77777777" w:rsidR="00B41A88" w:rsidRPr="0078357D" w:rsidRDefault="00B41A88" w:rsidP="00B41A88">
            <w:pPr>
              <w:pStyle w:val="Akapitzlist"/>
              <w:jc w:val="both"/>
              <w:rPr>
                <w:bCs/>
                <w:sz w:val="22"/>
                <w:szCs w:val="22"/>
              </w:rPr>
            </w:pPr>
          </w:p>
          <w:p w14:paraId="7BB51EC6" w14:textId="77777777" w:rsidR="00B41A88" w:rsidRPr="0078357D" w:rsidRDefault="00B41A88" w:rsidP="00B41A88">
            <w:pPr>
              <w:spacing w:after="200"/>
              <w:contextualSpacing/>
              <w:jc w:val="both"/>
              <w:rPr>
                <w:bCs/>
                <w:sz w:val="22"/>
                <w:szCs w:val="22"/>
              </w:rPr>
            </w:pPr>
            <w:r w:rsidRPr="0078357D">
              <w:rPr>
                <w:bCs/>
                <w:sz w:val="22"/>
                <w:szCs w:val="22"/>
              </w:rPr>
              <w:t>Odniesienie do AML: brak jest uzasadnienia rozwiązania wskazanego w art. 38, przy czym jednocześnie brak jest zmiany w Projekcie w zakresie ustawy o przeciwdziałaniu praniu pieniędzy oraz finansowaniu terroryzmu. Uprawnienia kontrolne nie powinny być również stosowane ,,odpowiednio”, co wynika z fundamentalnych zasad działania organów wyłącznie na podstawie i w graniach prawa.</w:t>
            </w:r>
          </w:p>
          <w:p w14:paraId="6E6A8072" w14:textId="77777777" w:rsidR="00B41A88" w:rsidRPr="0078357D" w:rsidRDefault="00B41A88" w:rsidP="00B41A88">
            <w:pPr>
              <w:pStyle w:val="Akapitzlist"/>
              <w:jc w:val="both"/>
              <w:rPr>
                <w:bCs/>
                <w:sz w:val="22"/>
                <w:szCs w:val="22"/>
              </w:rPr>
            </w:pPr>
          </w:p>
          <w:p w14:paraId="3CEAF18C" w14:textId="50B326D3" w:rsidR="00B41A88" w:rsidRPr="0078357D" w:rsidRDefault="00B41A88" w:rsidP="00B41A88">
            <w:pPr>
              <w:spacing w:after="200"/>
              <w:contextualSpacing/>
              <w:jc w:val="both"/>
              <w:rPr>
                <w:bCs/>
                <w:sz w:val="22"/>
                <w:szCs w:val="22"/>
              </w:rPr>
            </w:pPr>
            <w:r w:rsidRPr="0078357D">
              <w:rPr>
                <w:bCs/>
                <w:sz w:val="22"/>
                <w:szCs w:val="22"/>
              </w:rPr>
              <w:t xml:space="preserve">Kontrola gospodarki finansowej przedsiębiorstwa windykacyjnego: kontrola ta przewidziana w art. 39 ust. 2 jest sformułowaniem całkowicie niejasnym – nie wiadomo jakie działania, w jakim zakresie i w oparciu o jakie standardy, tak samo jak i jakie cele, miałby podejmować nadzór. Pojęcie to można rozumieć w bardzo różnych sposób i </w:t>
            </w:r>
            <w:r w:rsidRPr="0078357D">
              <w:rPr>
                <w:bCs/>
                <w:sz w:val="22"/>
                <w:szCs w:val="22"/>
              </w:rPr>
              <w:lastRenderedPageBreak/>
              <w:t xml:space="preserve">sposób jego ujęcia, jak i w ogóle sam fakt przewidzenia takiej kontroli jest nie tylko nieuzasadniony, ale też sprzeczny z ustrojem gospodarczym Polski. </w:t>
            </w:r>
          </w:p>
          <w:p w14:paraId="1C416B97" w14:textId="77777777" w:rsidR="00B41A88" w:rsidRPr="0078357D" w:rsidRDefault="00B41A88" w:rsidP="00B41A88">
            <w:pPr>
              <w:pStyle w:val="Akapitzlist"/>
              <w:jc w:val="both"/>
              <w:rPr>
                <w:bCs/>
                <w:sz w:val="22"/>
                <w:szCs w:val="22"/>
              </w:rPr>
            </w:pPr>
          </w:p>
          <w:p w14:paraId="10D89E11" w14:textId="16ECCEC4" w:rsidR="00B41A88" w:rsidRPr="0078357D" w:rsidRDefault="00B41A88" w:rsidP="00B41A88">
            <w:pPr>
              <w:spacing w:after="200"/>
              <w:contextualSpacing/>
              <w:jc w:val="both"/>
              <w:rPr>
                <w:bCs/>
                <w:sz w:val="22"/>
                <w:szCs w:val="22"/>
              </w:rPr>
            </w:pPr>
            <w:r w:rsidRPr="0078357D">
              <w:rPr>
                <w:bCs/>
                <w:sz w:val="22"/>
                <w:szCs w:val="22"/>
              </w:rPr>
              <w:t xml:space="preserve">Braki proceduralne i nieścisłości w relacji nadzorca-podmiot nadzorowany: w tym zakresie wskazać należy m.in. Projekt nie przewiduje procedury, w ramach której przedsiębiorstwo miałoby możliwość ustosunkowania się do wyników postępowania w zakresie art. 40 Projektu, czy w Projekcie występują nieścisłości pomiędzy tajemnicą przewidzianą w Projekcie, a tymi wynikającymi z prawa bankowego czy ustawy o funduszach inwestycyjnych. Daleko idącą ingerencją, która powinna zostać usunięta z Projektu, jest art. 44 ust. 2 – odpowiedzialność pracownicza, z samej definicji, pozostaje relacją pomiędzy pracodawcą, a pracownikiem, jeśli chodzi o pociągnięcie pracownika do odpowiedzialności.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349C0F" w14:textId="1FE8BC32" w:rsidR="00B41A88" w:rsidRPr="007749DD" w:rsidRDefault="00281D0C" w:rsidP="00B41A88">
            <w:pPr>
              <w:snapToGrid w:val="0"/>
              <w:rPr>
                <w:sz w:val="22"/>
                <w:szCs w:val="22"/>
              </w:rPr>
            </w:pPr>
            <w:r w:rsidRPr="0093391D">
              <w:rPr>
                <w:b/>
                <w:bCs/>
                <w:sz w:val="22"/>
                <w:szCs w:val="22"/>
              </w:rPr>
              <w:lastRenderedPageBreak/>
              <w:t xml:space="preserve">Częściowo uwzględniono poprzez zmianę brzmienia </w:t>
            </w:r>
            <w:r>
              <w:rPr>
                <w:b/>
                <w:bCs/>
                <w:sz w:val="22"/>
                <w:szCs w:val="22"/>
              </w:rPr>
              <w:t>przepisów rozdziału dotyczącego nadzoru</w:t>
            </w:r>
            <w:r w:rsidRPr="0093391D">
              <w:rPr>
                <w:b/>
                <w:bCs/>
                <w:sz w:val="22"/>
                <w:szCs w:val="22"/>
              </w:rPr>
              <w:t>.</w:t>
            </w:r>
          </w:p>
        </w:tc>
      </w:tr>
      <w:tr w:rsidR="00B41A88" w:rsidRPr="007749DD" w14:paraId="1EF65090"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70F83418"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7CF36278" w14:textId="60B58817"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52</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0158936" w14:textId="633E02E7"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2F32C44E" w14:textId="12833ED4" w:rsidR="00B41A88" w:rsidRPr="0078357D" w:rsidRDefault="00B41A88" w:rsidP="00B41A88">
            <w:pPr>
              <w:spacing w:after="200"/>
              <w:contextualSpacing/>
              <w:jc w:val="both"/>
              <w:rPr>
                <w:b/>
                <w:sz w:val="22"/>
                <w:szCs w:val="22"/>
              </w:rPr>
            </w:pPr>
            <w:r w:rsidRPr="0078357D">
              <w:rPr>
                <w:b/>
                <w:sz w:val="22"/>
                <w:szCs w:val="22"/>
              </w:rPr>
              <w:t xml:space="preserve">Ad art. 52 projektu </w:t>
            </w:r>
          </w:p>
          <w:p w14:paraId="122EF552" w14:textId="77777777" w:rsidR="00B41A88" w:rsidRPr="0078357D" w:rsidRDefault="00B41A88" w:rsidP="00B41A88">
            <w:pPr>
              <w:jc w:val="both"/>
              <w:rPr>
                <w:bCs/>
                <w:sz w:val="22"/>
                <w:szCs w:val="22"/>
              </w:rPr>
            </w:pPr>
            <w:r w:rsidRPr="0078357D">
              <w:rPr>
                <w:bCs/>
                <w:sz w:val="22"/>
                <w:szCs w:val="22"/>
              </w:rPr>
              <w:t xml:space="preserve">W art. 52 ust. 1 jest sformułowany w sposób niezgodny z Konstytucją RP i wymogiem </w:t>
            </w:r>
            <w:proofErr w:type="spellStart"/>
            <w:r w:rsidRPr="0078357D">
              <w:rPr>
                <w:bCs/>
                <w:i/>
                <w:iCs/>
                <w:sz w:val="22"/>
                <w:szCs w:val="22"/>
              </w:rPr>
              <w:t>nullum</w:t>
            </w:r>
            <w:proofErr w:type="spellEnd"/>
            <w:r w:rsidRPr="0078357D">
              <w:rPr>
                <w:bCs/>
                <w:i/>
                <w:iCs/>
                <w:sz w:val="22"/>
                <w:szCs w:val="22"/>
              </w:rPr>
              <w:t xml:space="preserve"> </w:t>
            </w:r>
            <w:proofErr w:type="spellStart"/>
            <w:r w:rsidRPr="0078357D">
              <w:rPr>
                <w:bCs/>
                <w:i/>
                <w:iCs/>
                <w:sz w:val="22"/>
                <w:szCs w:val="22"/>
              </w:rPr>
              <w:t>crimen</w:t>
            </w:r>
            <w:proofErr w:type="spellEnd"/>
            <w:r w:rsidRPr="0078357D">
              <w:rPr>
                <w:bCs/>
                <w:i/>
                <w:iCs/>
                <w:sz w:val="22"/>
                <w:szCs w:val="22"/>
              </w:rPr>
              <w:t xml:space="preserve"> sine lege certa. </w:t>
            </w:r>
            <w:r w:rsidRPr="0078357D">
              <w:rPr>
                <w:bCs/>
                <w:sz w:val="22"/>
                <w:szCs w:val="22"/>
              </w:rPr>
              <w:t xml:space="preserve">Jak wskazano wyżej, pojęcie ,,czynność windykacyjna” jest niejasna na gruncie Projektu, zatem de facto Projektodawca chce karać za czynności, których zakresu nie da się jednoznacznie ustalić. </w:t>
            </w:r>
          </w:p>
          <w:p w14:paraId="2E860E60" w14:textId="77777777" w:rsidR="00B41A88" w:rsidRPr="0078357D" w:rsidRDefault="00B41A88" w:rsidP="00B41A88">
            <w:pPr>
              <w:jc w:val="both"/>
              <w:rPr>
                <w:bCs/>
                <w:sz w:val="22"/>
                <w:szCs w:val="22"/>
              </w:rPr>
            </w:pPr>
          </w:p>
          <w:p w14:paraId="753D9A94" w14:textId="500DF4CA" w:rsidR="00B41A88" w:rsidRPr="0078357D" w:rsidRDefault="00B41A88" w:rsidP="00B41A88">
            <w:pPr>
              <w:jc w:val="both"/>
              <w:rPr>
                <w:bCs/>
                <w:sz w:val="22"/>
                <w:szCs w:val="22"/>
              </w:rPr>
            </w:pPr>
            <w:r w:rsidRPr="0078357D">
              <w:rPr>
                <w:bCs/>
                <w:sz w:val="22"/>
                <w:szCs w:val="22"/>
              </w:rPr>
              <w:t xml:space="preserve">Nie jest zrozumiałym czy art. 52 ust. 2 formułuje przestępstwo umyślne, czy też nieumyślne, natomiast w tym drugim przypadku Projektodawca przewidywałby karę za nawet nieumyślny i pośredni błąd w obliczeniach.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02849" w14:textId="1ABA2F54" w:rsidR="00B41A88" w:rsidRPr="007749DD" w:rsidRDefault="00281D0C" w:rsidP="00B41A88">
            <w:pPr>
              <w:snapToGrid w:val="0"/>
              <w:rPr>
                <w:sz w:val="22"/>
                <w:szCs w:val="22"/>
              </w:rPr>
            </w:pPr>
            <w:r w:rsidRPr="0093391D">
              <w:rPr>
                <w:b/>
                <w:bCs/>
                <w:sz w:val="22"/>
                <w:szCs w:val="22"/>
              </w:rPr>
              <w:t>Częściowo uwzględniono poprzez zmianę</w:t>
            </w:r>
            <w:r>
              <w:rPr>
                <w:b/>
                <w:bCs/>
                <w:sz w:val="22"/>
                <w:szCs w:val="22"/>
              </w:rPr>
              <w:t xml:space="preserve"> definicji ustawowej czynności windykacyjnych</w:t>
            </w:r>
            <w:r w:rsidRPr="0093391D">
              <w:rPr>
                <w:b/>
                <w:bCs/>
                <w:sz w:val="22"/>
                <w:szCs w:val="22"/>
              </w:rPr>
              <w:t>.</w:t>
            </w:r>
          </w:p>
        </w:tc>
      </w:tr>
      <w:tr w:rsidR="00B41A88" w:rsidRPr="007749DD" w14:paraId="3EFB6D7F"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085D2A7A"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79334A75" w14:textId="3DF51F53"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55</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3FBC56ED" w14:textId="5D023846"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7641EB1A" w14:textId="3688EED0" w:rsidR="00B41A88" w:rsidRPr="0078357D" w:rsidRDefault="00B41A88" w:rsidP="00B41A88">
            <w:pPr>
              <w:spacing w:after="200"/>
              <w:contextualSpacing/>
              <w:jc w:val="both"/>
              <w:rPr>
                <w:b/>
                <w:sz w:val="22"/>
                <w:szCs w:val="22"/>
              </w:rPr>
            </w:pPr>
            <w:r w:rsidRPr="0078357D">
              <w:rPr>
                <w:b/>
                <w:sz w:val="22"/>
                <w:szCs w:val="22"/>
              </w:rPr>
              <w:t xml:space="preserve">Ad art. 55 projektu </w:t>
            </w:r>
          </w:p>
          <w:p w14:paraId="2CC24A8E" w14:textId="77777777" w:rsidR="00B41A88" w:rsidRPr="0078357D" w:rsidRDefault="00B41A88" w:rsidP="00B41A88">
            <w:pPr>
              <w:spacing w:after="200"/>
              <w:contextualSpacing/>
              <w:jc w:val="both"/>
              <w:rPr>
                <w:bCs/>
                <w:sz w:val="22"/>
                <w:szCs w:val="22"/>
              </w:rPr>
            </w:pPr>
            <w:r w:rsidRPr="0078357D">
              <w:rPr>
                <w:bCs/>
                <w:sz w:val="22"/>
                <w:szCs w:val="22"/>
              </w:rPr>
              <w:t>Nieproporcjonalnie zakreślona hipoteza normy prowadząca do pogorszenia sytuacji osób, którym należna jest szczególna ochrona prawna i uniemożliwienia wykonywania ustawowych obowiązków</w:t>
            </w:r>
          </w:p>
          <w:p w14:paraId="5976B8C1" w14:textId="037DC0A2" w:rsidR="00B41A88" w:rsidRPr="0078357D" w:rsidRDefault="00B41A88" w:rsidP="00B41A88">
            <w:pPr>
              <w:spacing w:after="200"/>
              <w:contextualSpacing/>
              <w:jc w:val="both"/>
              <w:rPr>
                <w:bCs/>
                <w:sz w:val="22"/>
                <w:szCs w:val="22"/>
              </w:rPr>
            </w:pPr>
            <w:r w:rsidRPr="0078357D">
              <w:rPr>
                <w:bCs/>
                <w:sz w:val="22"/>
                <w:szCs w:val="22"/>
              </w:rPr>
              <w:t xml:space="preserve">Hipoteza normy projektowanego 190a §2a kodeksu karnego obejmuje każdą osobę, która jest wierzycielem lub dysponuje roszczeniem. Taka konstrukcja przepisu czyni krąg potencjalnych sprawców bardzo szerokim i może uniemożliwić realizację swojego prawa, także w przypadkach o dużej wadze społecznej. Jako przykład można wskazać np. pracownika chcącego uzyskać wypłatę pensji wobec pracodawcy, osobę uprawnioną do alimentów dochodzącą świadczenia alimentacyjnego wobec zobowiązanego do zapłaty go, poszkodowanego w wypadku dochodzący odszkodowania od sprawcy wypadku, pokrzywdzonego dochodzącego zadośćuczynienia w związku z naruszeniem jego dobra osobistego do godności, prywatności czy dobrego imienia. Przepis wymierzony jest w wierzycieli, w tym w osoby najsłabsze wymagające ochrony ze strony systemu prawnego. Ponadto przepis może dotyczyć nie tylko wszystkich firm dochodzących swoich wierzytelności ale także komorników sądowych, którzy mogą być posądzeni o nękanie dłużnika, chociaż działają w granicach określonych ustawami i na </w:t>
            </w:r>
            <w:r w:rsidRPr="0078357D">
              <w:rPr>
                <w:bCs/>
                <w:sz w:val="22"/>
                <w:szCs w:val="22"/>
              </w:rPr>
              <w:lastRenderedPageBreak/>
              <w:t xml:space="preserve">podstawie prawomocnego tytułu wykonawczego. Taki zapis może być nadużywany przez osoby chcące uniknąć spłaty zaciągniętych zobowiązań. </w:t>
            </w:r>
          </w:p>
          <w:p w14:paraId="3A9A9F74" w14:textId="77777777" w:rsidR="00B41A88" w:rsidRPr="0078357D" w:rsidRDefault="00B41A88" w:rsidP="00B41A88">
            <w:pPr>
              <w:pStyle w:val="Akapitzlist"/>
              <w:ind w:left="1080"/>
              <w:jc w:val="both"/>
              <w:rPr>
                <w:bCs/>
                <w:sz w:val="22"/>
                <w:szCs w:val="22"/>
              </w:rPr>
            </w:pPr>
          </w:p>
          <w:p w14:paraId="58E3E8BA" w14:textId="77777777" w:rsidR="00B41A88" w:rsidRPr="0078357D" w:rsidRDefault="00B41A88" w:rsidP="00B41A88">
            <w:pPr>
              <w:spacing w:after="200"/>
              <w:contextualSpacing/>
              <w:jc w:val="both"/>
              <w:rPr>
                <w:bCs/>
                <w:sz w:val="22"/>
                <w:szCs w:val="22"/>
              </w:rPr>
            </w:pPr>
            <w:r w:rsidRPr="0078357D">
              <w:rPr>
                <w:bCs/>
                <w:sz w:val="22"/>
                <w:szCs w:val="22"/>
              </w:rPr>
              <w:t>,,Poczucie poniżenia”, ,,poczucie udręczenia”, czy ,,poczucie zagrożenia” jest nieadekwatne do proponowanego typu kwalifikowanego w projektowanym art. 190a §2a kodeksu karnego</w:t>
            </w:r>
          </w:p>
          <w:p w14:paraId="598E8D4C" w14:textId="77777777" w:rsidR="00B41A88" w:rsidRPr="0078357D" w:rsidRDefault="00B41A88" w:rsidP="00B41A88">
            <w:pPr>
              <w:jc w:val="both"/>
              <w:rPr>
                <w:bCs/>
                <w:sz w:val="22"/>
                <w:szCs w:val="22"/>
              </w:rPr>
            </w:pPr>
          </w:p>
          <w:p w14:paraId="28AB356C" w14:textId="1008C325" w:rsidR="00B41A88" w:rsidRPr="0078357D" w:rsidRDefault="00B41A88" w:rsidP="00B41A88">
            <w:pPr>
              <w:jc w:val="both"/>
              <w:rPr>
                <w:bCs/>
                <w:sz w:val="22"/>
                <w:szCs w:val="22"/>
              </w:rPr>
            </w:pPr>
            <w:r w:rsidRPr="0078357D">
              <w:rPr>
                <w:bCs/>
                <w:sz w:val="22"/>
                <w:szCs w:val="22"/>
              </w:rPr>
              <w:t xml:space="preserve">Znamiona przestępstwa stalkingu w projektowanym art. 190a §2a kodeksu karnego, o ile znajdują odzwierciedlenie w przypadku działania stalkera (np.: osoby, która dokonuje stalkingu w relacjach towarzyskich), są nieadekwatne w przypadku osoby dochodzącej swojej wierzytelności. </w:t>
            </w:r>
          </w:p>
          <w:p w14:paraId="3B331C70" w14:textId="77777777" w:rsidR="00B41A88" w:rsidRPr="0078357D" w:rsidRDefault="00B41A88" w:rsidP="00B41A88">
            <w:pPr>
              <w:jc w:val="both"/>
              <w:rPr>
                <w:bCs/>
                <w:sz w:val="22"/>
                <w:szCs w:val="22"/>
              </w:rPr>
            </w:pPr>
          </w:p>
          <w:p w14:paraId="4B2D4248" w14:textId="77777777" w:rsidR="00B41A88" w:rsidRPr="0078357D" w:rsidRDefault="00B41A88" w:rsidP="00B41A88">
            <w:pPr>
              <w:jc w:val="both"/>
              <w:rPr>
                <w:bCs/>
                <w:sz w:val="22"/>
                <w:szCs w:val="22"/>
              </w:rPr>
            </w:pPr>
            <w:r w:rsidRPr="0078357D">
              <w:rPr>
                <w:bCs/>
                <w:sz w:val="22"/>
                <w:szCs w:val="22"/>
              </w:rPr>
              <w:t>,,Poczucie poniżenia”, ,,poczucie udręczenia”, czy ,,poczucie zagrożenia” są skrajnie subiektywne – odwołują się wprost do ludzkiej wrażliwości. Zagrożenie karą uzależnione zostaje zatem od poziomu wrażliwości człowieka, co jest punktem odniesienia różnym dla różnych ludzi, zmiennym i zupełnie niemierzalnym w warunkach zwykłych, powierzchownych relacji międzyludzkich, charakterystycznych dla sytuacji typu dochodzenie wierzytelności.</w:t>
            </w:r>
          </w:p>
          <w:p w14:paraId="22549A07" w14:textId="77777777" w:rsidR="00B41A88" w:rsidRPr="0078357D" w:rsidRDefault="00B41A88" w:rsidP="00B41A88">
            <w:pPr>
              <w:pStyle w:val="Akapitzlist"/>
              <w:ind w:left="1080"/>
              <w:jc w:val="both"/>
              <w:rPr>
                <w:bCs/>
                <w:sz w:val="22"/>
                <w:szCs w:val="22"/>
              </w:rPr>
            </w:pPr>
          </w:p>
          <w:p w14:paraId="22A5B82A" w14:textId="77777777" w:rsidR="00B41A88" w:rsidRPr="0078357D" w:rsidRDefault="00B41A88" w:rsidP="00B41A88">
            <w:pPr>
              <w:jc w:val="both"/>
              <w:rPr>
                <w:bCs/>
                <w:sz w:val="22"/>
                <w:szCs w:val="22"/>
              </w:rPr>
            </w:pPr>
            <w:r w:rsidRPr="0078357D">
              <w:rPr>
                <w:bCs/>
                <w:sz w:val="22"/>
                <w:szCs w:val="22"/>
              </w:rPr>
              <w:t>Dług u każdej osoby powoduje poczucie dyskomfortu i może wzbudzać w osobie zadłużonej poczucie lęku. Jednak lęk ten wywołany jest zupełnie innymi przesłankami niż w przypadku stalkingu w typie podstawowym. Zatem nie sposób odnieść skutku wywołanego działaniem stalkera opisanego w typie podstawowym do skutków jakie może wywołać działanie osoby dochodzącej swojej wierzytelności bowiem poczucie dyskomfortu ze względu na fakt zadłużenia jest czymś naturalnym, niezależnym od działania osoby dochodzącej wierzytelności. A zatem określenie skutku w postaci poczucia zagrożenia, udręczenia, naruszenia prywatności jest zupełnie nieadekwatny do proponowanego typu kwalifikowanego.</w:t>
            </w:r>
          </w:p>
          <w:p w14:paraId="4A96F0E2" w14:textId="77777777" w:rsidR="00B41A88" w:rsidRPr="0078357D" w:rsidRDefault="00B41A88" w:rsidP="00B41A88">
            <w:pPr>
              <w:pStyle w:val="Akapitzlist"/>
              <w:ind w:left="1080"/>
              <w:jc w:val="both"/>
              <w:rPr>
                <w:bCs/>
                <w:sz w:val="22"/>
                <w:szCs w:val="22"/>
              </w:rPr>
            </w:pPr>
          </w:p>
          <w:p w14:paraId="1BA3EED6" w14:textId="77777777" w:rsidR="00B41A88" w:rsidRPr="0078357D" w:rsidRDefault="00B41A88" w:rsidP="00B41A88">
            <w:pPr>
              <w:jc w:val="both"/>
              <w:rPr>
                <w:bCs/>
                <w:sz w:val="22"/>
                <w:szCs w:val="22"/>
              </w:rPr>
            </w:pPr>
            <w:r w:rsidRPr="0078357D">
              <w:rPr>
                <w:bCs/>
                <w:sz w:val="22"/>
                <w:szCs w:val="22"/>
              </w:rPr>
              <w:t>Ponadto ,,poczucie poniżenia” i jemu pokrewne znamiona muszą być ,,uzasadnione okolicznościami”. Raz, nie wskazano o jakich okolicznościach mowa. Dwa, punktem wyjścia pozostaje ,,poczucie poniżenia”, zatem próba obiektywizowania go niesprecyzowanymi ,,okolicznościami” wciąż nie rozwiązuje problemu tego wyjątkowo subiektywnego punktu odniesienia w realiach dochodzenia wierzytelności – ocena czy przestępstwo zostaje popełnione czy nie jest w tym przypadku niemożliwa (niemierzalne ryzyko).</w:t>
            </w:r>
          </w:p>
          <w:p w14:paraId="7B0E4E52" w14:textId="77777777" w:rsidR="00B41A88" w:rsidRPr="0078357D" w:rsidRDefault="00B41A88" w:rsidP="00B41A88">
            <w:pPr>
              <w:pStyle w:val="Akapitzlist"/>
              <w:ind w:left="1080"/>
              <w:jc w:val="both"/>
              <w:rPr>
                <w:bCs/>
                <w:sz w:val="22"/>
                <w:szCs w:val="22"/>
              </w:rPr>
            </w:pPr>
          </w:p>
          <w:p w14:paraId="6EDFA409" w14:textId="54C0A2D9" w:rsidR="00B41A88" w:rsidRPr="0078357D" w:rsidRDefault="00B41A88" w:rsidP="00B41A88">
            <w:pPr>
              <w:spacing w:after="200"/>
              <w:contextualSpacing/>
              <w:jc w:val="both"/>
              <w:rPr>
                <w:bCs/>
                <w:sz w:val="22"/>
                <w:szCs w:val="22"/>
              </w:rPr>
            </w:pPr>
            <w:r w:rsidRPr="0078357D">
              <w:rPr>
                <w:bCs/>
                <w:sz w:val="22"/>
                <w:szCs w:val="22"/>
              </w:rPr>
              <w:t>Nieprecyzyjna ,,uporczywość” nękania w kontekście dochodzenia wierzytelności.</w:t>
            </w:r>
          </w:p>
          <w:p w14:paraId="319733C8" w14:textId="6E35739C" w:rsidR="00B41A88" w:rsidRPr="0078357D" w:rsidRDefault="00B41A88" w:rsidP="00B41A88">
            <w:pPr>
              <w:spacing w:after="200"/>
              <w:contextualSpacing/>
              <w:jc w:val="both"/>
              <w:rPr>
                <w:bCs/>
                <w:sz w:val="22"/>
                <w:szCs w:val="22"/>
              </w:rPr>
            </w:pPr>
            <w:r w:rsidRPr="0078357D">
              <w:rPr>
                <w:bCs/>
                <w:sz w:val="22"/>
                <w:szCs w:val="22"/>
              </w:rPr>
              <w:t xml:space="preserve">W kontekście dochodzenia wierzytelności powstaje również pytanie jak rozumieć ,,uporczywość” nękania. Jeśli jest to kategoria ilościowa, nie sposób wskazać jaka ilość </w:t>
            </w:r>
            <w:r w:rsidRPr="0078357D">
              <w:rPr>
                <w:bCs/>
                <w:sz w:val="22"/>
                <w:szCs w:val="22"/>
              </w:rPr>
              <w:lastRenderedPageBreak/>
              <w:t xml:space="preserve">działań wypełnia ,,uporczywość” np.: ile telefonów, ile wysłanych e-maili. Jeśli jest to kategoria jakościowa, powstaje pytanie, czy korzystanie z różnych dostępnych środków kontaktu (e-mail, kontakt przez aplikacje, kontakt telefoniczny, SMS, kontakt osobisty), a nie tylko z jednego jest już ,,uporczywe”. Nie jest również pewnym czy realizowanie zasad określonych w Projekcie (np.: dotyczących kontaktów z dłużnikiem) jednocześnie sprawia, że nie ma miejsca projektowane przestępstwo.  </w:t>
            </w:r>
          </w:p>
          <w:p w14:paraId="0C0570AD" w14:textId="77777777" w:rsidR="00B41A88" w:rsidRPr="0078357D" w:rsidRDefault="00B41A88" w:rsidP="00B41A88">
            <w:pPr>
              <w:jc w:val="both"/>
              <w:rPr>
                <w:bCs/>
                <w:sz w:val="22"/>
                <w:szCs w:val="22"/>
              </w:rPr>
            </w:pPr>
          </w:p>
          <w:p w14:paraId="4229C244" w14:textId="77777777" w:rsidR="00B41A88" w:rsidRPr="0078357D" w:rsidRDefault="00B41A88" w:rsidP="00B41A88">
            <w:pPr>
              <w:jc w:val="both"/>
              <w:rPr>
                <w:bCs/>
                <w:sz w:val="22"/>
                <w:szCs w:val="22"/>
              </w:rPr>
            </w:pPr>
            <w:r w:rsidRPr="0078357D">
              <w:rPr>
                <w:bCs/>
                <w:sz w:val="22"/>
                <w:szCs w:val="22"/>
              </w:rPr>
              <w:t>,,Wymuszenia zwrotu wierzytelności” jako sformułowanie niemożliwe do jednoznacznej interpretacji oraz projektowany art. 190a §2a kodeksu karnego jako czyn penalizowany jak wymuszenie rozbójnicze.</w:t>
            </w:r>
          </w:p>
          <w:p w14:paraId="0E654ED5" w14:textId="4135A5E3" w:rsidR="00B41A88" w:rsidRPr="0078357D" w:rsidRDefault="00B41A88" w:rsidP="00B41A88">
            <w:pPr>
              <w:jc w:val="both"/>
              <w:rPr>
                <w:bCs/>
                <w:sz w:val="22"/>
                <w:szCs w:val="22"/>
              </w:rPr>
            </w:pPr>
            <w:r w:rsidRPr="0078357D">
              <w:rPr>
                <w:bCs/>
                <w:sz w:val="22"/>
                <w:szCs w:val="22"/>
              </w:rPr>
              <w:t>W projektowanym art. 190a §2a kodeksu karnego tworzony jest typ kwalifikowany przestępstwa ,,</w:t>
            </w:r>
            <w:r w:rsidRPr="0078357D">
              <w:rPr>
                <w:bCs/>
                <w:i/>
                <w:sz w:val="22"/>
                <w:szCs w:val="22"/>
              </w:rPr>
              <w:t>Jeżeli sprawca działa w sposób określony w § 1 w celu wymuszenia zwrotu wierzytelności”</w:t>
            </w:r>
            <w:r w:rsidRPr="0078357D">
              <w:rPr>
                <w:bCs/>
                <w:sz w:val="22"/>
                <w:szCs w:val="22"/>
              </w:rPr>
              <w:t xml:space="preserve">. Pojęcie ,,wymuszenie zwrotu wierzytelności” jest wyjątkowo nieczytelne – czy każde dochodzenie wierzytelności wbrew woli dłużnika jest ,,wymuszeniem” czy tylko takie z którego wynika ,,zmuszanie”? Jeśli prawidłowa jest druga interpretacja, co stanowi ,,zmuszanie”, a co go nie stanowi? Wątpliwości dotyczą zarówno postępowania sądowego, jak i przedsądowego, polubownego. Prowadzi to do licznych absurdów np.: ,,wymuszeniem” może okazać się propozycja mediacji. </w:t>
            </w:r>
          </w:p>
          <w:p w14:paraId="5F8E027D" w14:textId="77777777" w:rsidR="00B41A88" w:rsidRPr="0078357D" w:rsidRDefault="00B41A88" w:rsidP="00B41A88">
            <w:pPr>
              <w:pStyle w:val="Akapitzlist"/>
              <w:ind w:left="1080"/>
              <w:jc w:val="both"/>
              <w:rPr>
                <w:bCs/>
                <w:sz w:val="22"/>
                <w:szCs w:val="22"/>
              </w:rPr>
            </w:pPr>
          </w:p>
          <w:p w14:paraId="66026FB1" w14:textId="77777777" w:rsidR="00B41A88" w:rsidRPr="0078357D" w:rsidRDefault="00B41A88" w:rsidP="00B41A88">
            <w:pPr>
              <w:jc w:val="both"/>
              <w:rPr>
                <w:bCs/>
                <w:sz w:val="22"/>
                <w:szCs w:val="22"/>
              </w:rPr>
            </w:pPr>
            <w:r w:rsidRPr="0078357D">
              <w:rPr>
                <w:bCs/>
                <w:sz w:val="22"/>
                <w:szCs w:val="22"/>
              </w:rPr>
              <w:t>,,Wymuszanie’’ – w art. 115 KK (słownik) brak wyjaśnienia tego sformułowania.  Słowo ,,wymuszenie’’ pojawia się w KK w odniesieniu do art. 282 KK jako ,,wymuszenie rozbójnicze’’ gdzie mowa o działaniu charakteryzującym się przemocą, groźbą zamachu na życie lub zdrowie oraz gwałtownego zamachu na mienie, prowadzącym inną osobą do rozporządzenia mieniem. Jednocześnie sankcja w przypadku art. 282 KK jest taka sama jak w przypadku projektowanego art. 190a §2a kodeksu karnego.</w:t>
            </w:r>
          </w:p>
          <w:p w14:paraId="0683C3ED" w14:textId="77777777" w:rsidR="00B41A88" w:rsidRPr="0078357D" w:rsidRDefault="00B41A88" w:rsidP="00B41A88">
            <w:pPr>
              <w:pStyle w:val="Akapitzlist"/>
              <w:ind w:left="1080"/>
              <w:jc w:val="both"/>
              <w:rPr>
                <w:bCs/>
                <w:sz w:val="22"/>
                <w:szCs w:val="22"/>
              </w:rPr>
            </w:pPr>
          </w:p>
          <w:p w14:paraId="080020C9" w14:textId="77777777" w:rsidR="00B41A88" w:rsidRPr="0078357D" w:rsidRDefault="00B41A88" w:rsidP="00B41A88">
            <w:pPr>
              <w:spacing w:after="200"/>
              <w:contextualSpacing/>
              <w:jc w:val="both"/>
              <w:rPr>
                <w:bCs/>
                <w:sz w:val="22"/>
                <w:szCs w:val="22"/>
              </w:rPr>
            </w:pPr>
            <w:r w:rsidRPr="0078357D">
              <w:rPr>
                <w:bCs/>
                <w:sz w:val="22"/>
                <w:szCs w:val="22"/>
              </w:rPr>
              <w:t>Prawo UE</w:t>
            </w:r>
          </w:p>
          <w:p w14:paraId="375F95A5" w14:textId="4929805C" w:rsidR="00B41A88" w:rsidRPr="0078357D" w:rsidRDefault="00B41A88" w:rsidP="00B41A88">
            <w:pPr>
              <w:jc w:val="both"/>
              <w:rPr>
                <w:bCs/>
                <w:sz w:val="22"/>
                <w:szCs w:val="22"/>
              </w:rPr>
            </w:pPr>
            <w:r w:rsidRPr="0078357D">
              <w:rPr>
                <w:bCs/>
                <w:sz w:val="22"/>
                <w:szCs w:val="22"/>
              </w:rPr>
              <w:t xml:space="preserve">Wspomniana Dyrektywa NPL w art. 10 ust. 1 lit. d przewiduje, iż Państwa członkowskie wymagają, aby w swoich stosunkach z kredytobiorcami nabywcy kredytów i podmioty obsługujące kredyty komunikowali się z kredytobiorcami w sposób, który nie stanowi nękania, przymusu lub bezprawnego nacisku. Jednakże uregulowanie takiej komunikacji wymaga precyzji oraz jasności, zarówno co do działania (nękanie), zakresu (komunikacja, podmiot przestępstwa) i formy (nie jest wymagana forma przestępstwa i to z tak wysoką sankcją).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FA1105" w14:textId="77777777" w:rsidR="00B41A88" w:rsidRPr="00873465" w:rsidRDefault="00281D0C" w:rsidP="00B41A88">
            <w:pPr>
              <w:snapToGrid w:val="0"/>
              <w:rPr>
                <w:b/>
                <w:bCs/>
                <w:sz w:val="22"/>
                <w:szCs w:val="22"/>
              </w:rPr>
            </w:pPr>
            <w:r w:rsidRPr="00873465">
              <w:rPr>
                <w:b/>
                <w:bCs/>
                <w:sz w:val="22"/>
                <w:szCs w:val="22"/>
              </w:rPr>
              <w:lastRenderedPageBreak/>
              <w:t>Nie uwzględniono.</w:t>
            </w:r>
          </w:p>
          <w:p w14:paraId="68FCA2B8" w14:textId="1A21D8DC" w:rsidR="00281D0C" w:rsidRPr="007749DD" w:rsidRDefault="00281D0C" w:rsidP="00873465">
            <w:pPr>
              <w:snapToGrid w:val="0"/>
              <w:jc w:val="both"/>
              <w:rPr>
                <w:sz w:val="22"/>
                <w:szCs w:val="22"/>
              </w:rPr>
            </w:pPr>
            <w:r>
              <w:rPr>
                <w:sz w:val="22"/>
                <w:szCs w:val="22"/>
              </w:rPr>
              <w:t xml:space="preserve">Kwalifikowany typ przestępstwa </w:t>
            </w:r>
            <w:r w:rsidR="00873465">
              <w:rPr>
                <w:sz w:val="22"/>
                <w:szCs w:val="22"/>
              </w:rPr>
              <w:t>jest odpowiedzią</w:t>
            </w:r>
            <w:r>
              <w:rPr>
                <w:sz w:val="22"/>
                <w:szCs w:val="22"/>
              </w:rPr>
              <w:t xml:space="preserve"> na sygnalizowane nadużycia ze strony</w:t>
            </w:r>
            <w:r w:rsidR="00E23F60">
              <w:rPr>
                <w:sz w:val="22"/>
                <w:szCs w:val="22"/>
              </w:rPr>
              <w:t xml:space="preserve"> niektórych, nieuczciwych </w:t>
            </w:r>
            <w:r>
              <w:rPr>
                <w:sz w:val="22"/>
                <w:szCs w:val="22"/>
              </w:rPr>
              <w:t>windykatorów</w:t>
            </w:r>
            <w:r w:rsidR="00E23F60">
              <w:rPr>
                <w:sz w:val="22"/>
                <w:szCs w:val="22"/>
              </w:rPr>
              <w:t>.</w:t>
            </w:r>
            <w:r>
              <w:rPr>
                <w:sz w:val="22"/>
                <w:szCs w:val="22"/>
              </w:rPr>
              <w:t xml:space="preserve"> </w:t>
            </w:r>
          </w:p>
        </w:tc>
      </w:tr>
      <w:tr w:rsidR="00B41A88" w:rsidRPr="007749DD" w14:paraId="2F161E0F" w14:textId="77777777" w:rsidTr="00873465">
        <w:trPr>
          <w:trHeight w:val="818"/>
          <w:jc w:val="center"/>
        </w:trPr>
        <w:tc>
          <w:tcPr>
            <w:tcW w:w="704" w:type="dxa"/>
            <w:tcBorders>
              <w:top w:val="single" w:sz="4" w:space="0" w:color="000000" w:themeColor="text1"/>
              <w:left w:val="single" w:sz="4" w:space="0" w:color="000000" w:themeColor="text1"/>
              <w:bottom w:val="single" w:sz="4" w:space="0" w:color="000000" w:themeColor="text1"/>
            </w:tcBorders>
          </w:tcPr>
          <w:p w14:paraId="023A0B96"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07DB2E2C" w14:textId="32C7CD40"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56</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7E86F5B2" w14:textId="3935C5E6"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34344730" w14:textId="41D02E2F" w:rsidR="00B41A88" w:rsidRPr="00AC64BA" w:rsidRDefault="00B41A88" w:rsidP="00B41A88">
            <w:pPr>
              <w:spacing w:after="200"/>
              <w:contextualSpacing/>
              <w:jc w:val="both"/>
              <w:rPr>
                <w:b/>
                <w:sz w:val="22"/>
                <w:szCs w:val="22"/>
              </w:rPr>
            </w:pPr>
            <w:r w:rsidRPr="00AC64BA">
              <w:rPr>
                <w:b/>
                <w:sz w:val="22"/>
                <w:szCs w:val="22"/>
              </w:rPr>
              <w:t xml:space="preserve">Ad art. 56 projektu </w:t>
            </w:r>
          </w:p>
          <w:p w14:paraId="1A8CA8D7" w14:textId="67102B3F" w:rsidR="00B41A88" w:rsidRPr="00AC64BA" w:rsidRDefault="00B41A88" w:rsidP="00B41A88">
            <w:pPr>
              <w:jc w:val="both"/>
              <w:rPr>
                <w:bCs/>
                <w:sz w:val="22"/>
                <w:szCs w:val="22"/>
              </w:rPr>
            </w:pPr>
            <w:r w:rsidRPr="00AC64BA">
              <w:rPr>
                <w:bCs/>
                <w:sz w:val="22"/>
                <w:szCs w:val="22"/>
              </w:rPr>
              <w:t xml:space="preserve">Wykroczenie zostało sformułowane poprzez ogólne odniesienie do ,,windykacyjnych zakazów”, zatem nie spełnia zasady </w:t>
            </w:r>
            <w:proofErr w:type="spellStart"/>
            <w:r w:rsidRPr="00AC64BA">
              <w:rPr>
                <w:bCs/>
                <w:i/>
                <w:iCs/>
                <w:sz w:val="22"/>
                <w:szCs w:val="22"/>
              </w:rPr>
              <w:t>nullum</w:t>
            </w:r>
            <w:proofErr w:type="spellEnd"/>
            <w:r w:rsidRPr="00AC64BA">
              <w:rPr>
                <w:bCs/>
                <w:i/>
                <w:iCs/>
                <w:sz w:val="22"/>
                <w:szCs w:val="22"/>
              </w:rPr>
              <w:t xml:space="preserve"> </w:t>
            </w:r>
            <w:proofErr w:type="spellStart"/>
            <w:r w:rsidRPr="00AC64BA">
              <w:rPr>
                <w:bCs/>
                <w:i/>
                <w:iCs/>
                <w:sz w:val="22"/>
                <w:szCs w:val="22"/>
              </w:rPr>
              <w:t>crimen</w:t>
            </w:r>
            <w:proofErr w:type="spellEnd"/>
            <w:r w:rsidRPr="00AC64BA">
              <w:rPr>
                <w:bCs/>
                <w:i/>
                <w:iCs/>
                <w:sz w:val="22"/>
                <w:szCs w:val="22"/>
              </w:rPr>
              <w:t xml:space="preserve"> sine lege certa.</w:t>
            </w:r>
            <w:r w:rsidRPr="00AC64BA">
              <w:rPr>
                <w:bCs/>
                <w:sz w:val="22"/>
                <w:szCs w:val="22"/>
              </w:rPr>
              <w:t xml:space="preserve">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35FC20" w14:textId="6C258062" w:rsidR="00B41A88" w:rsidRPr="007749DD" w:rsidRDefault="00E23F60" w:rsidP="00B41A88">
            <w:pPr>
              <w:snapToGrid w:val="0"/>
              <w:rPr>
                <w:sz w:val="22"/>
                <w:szCs w:val="22"/>
              </w:rPr>
            </w:pPr>
            <w:r w:rsidRPr="0093391D">
              <w:rPr>
                <w:b/>
                <w:bCs/>
                <w:sz w:val="22"/>
                <w:szCs w:val="22"/>
              </w:rPr>
              <w:t>Częściowo uwzględniono poprzez zmianę brzmienia przepisu.</w:t>
            </w:r>
          </w:p>
        </w:tc>
      </w:tr>
      <w:tr w:rsidR="00B41A88" w:rsidRPr="007749DD" w14:paraId="2AFA007E"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15F43AFE"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5587DB71" w14:textId="1C3504EE"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58</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7FA6E98" w14:textId="5EF5D4AE"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7C501BF5" w14:textId="174B3083" w:rsidR="00B41A88" w:rsidRPr="00AC64BA" w:rsidRDefault="00B41A88" w:rsidP="00B41A88">
            <w:pPr>
              <w:spacing w:after="200"/>
              <w:contextualSpacing/>
              <w:jc w:val="both"/>
              <w:rPr>
                <w:b/>
                <w:sz w:val="22"/>
                <w:szCs w:val="22"/>
              </w:rPr>
            </w:pPr>
            <w:r w:rsidRPr="00AC64BA">
              <w:rPr>
                <w:b/>
                <w:sz w:val="22"/>
                <w:szCs w:val="22"/>
              </w:rPr>
              <w:t xml:space="preserve">Ad art. 58 projektu </w:t>
            </w:r>
          </w:p>
          <w:p w14:paraId="31B24C50" w14:textId="77777777" w:rsidR="00B41A88" w:rsidRPr="00AC64BA" w:rsidRDefault="00B41A88" w:rsidP="00B41A88">
            <w:pPr>
              <w:jc w:val="both"/>
              <w:rPr>
                <w:bCs/>
                <w:sz w:val="22"/>
                <w:szCs w:val="22"/>
              </w:rPr>
            </w:pPr>
            <w:r w:rsidRPr="00AC64BA">
              <w:rPr>
                <w:bCs/>
                <w:sz w:val="22"/>
                <w:szCs w:val="22"/>
              </w:rPr>
              <w:t xml:space="preserve">Bazując na doświadczeniach z minionych lat, kiedy obserwowane było zjawisko wydłużania się średniego czasu trwania postępowania sądowego, wejście w życie wzmiankowanego przepisu może doprowadzić do sytuacji, w której dochodzenie wierzytelności w postępowaniu sądowym będzie trwało dłużej niż okres, w którym będzie można podejmować próby wyegzekwowania zasądzonej wierzytelności na drodze przymusu komorniczego. </w:t>
            </w:r>
          </w:p>
          <w:p w14:paraId="20266AD0" w14:textId="77777777" w:rsidR="00B41A88" w:rsidRPr="00AC64BA" w:rsidRDefault="00B41A88" w:rsidP="00B41A88">
            <w:pPr>
              <w:pStyle w:val="Akapitzlist"/>
              <w:jc w:val="both"/>
              <w:rPr>
                <w:bCs/>
                <w:sz w:val="22"/>
                <w:szCs w:val="22"/>
              </w:rPr>
            </w:pPr>
          </w:p>
          <w:p w14:paraId="7CDC678E" w14:textId="77777777" w:rsidR="00B41A88" w:rsidRPr="00AC64BA" w:rsidRDefault="00B41A88" w:rsidP="00B41A88">
            <w:pPr>
              <w:jc w:val="both"/>
              <w:rPr>
                <w:bCs/>
                <w:sz w:val="22"/>
                <w:szCs w:val="22"/>
              </w:rPr>
            </w:pPr>
            <w:r w:rsidRPr="00AC64BA">
              <w:rPr>
                <w:bCs/>
                <w:sz w:val="22"/>
                <w:szCs w:val="22"/>
              </w:rPr>
              <w:t>Wskazujemy, że dopiero co skrócono termin przedawnienia z 10 do 6 lat i jesteśmy jeszcze w okresie przejściowym (do lipca 2024) dla wejścia w życie w pełni tych zmian. Zatem to zdecydowanie za wcześnie na wprowadzanie kolejnej, jeszcze dalej idącej zmiany (6-&gt;3), zarówno z uwagi na wyżej wskazany okres przejściowy, jak i brak możliwości obserwacji w praktyce  skutków poprzedniej.</w:t>
            </w:r>
          </w:p>
          <w:p w14:paraId="2E7DA30E" w14:textId="77777777" w:rsidR="00B41A88" w:rsidRPr="00AC64BA" w:rsidRDefault="00B41A88" w:rsidP="00B41A88">
            <w:pPr>
              <w:pStyle w:val="Akapitzlist"/>
              <w:jc w:val="both"/>
              <w:rPr>
                <w:bCs/>
                <w:sz w:val="22"/>
                <w:szCs w:val="22"/>
              </w:rPr>
            </w:pPr>
          </w:p>
          <w:p w14:paraId="3D719051" w14:textId="4F125DF1" w:rsidR="00B41A88" w:rsidRPr="00AC64BA" w:rsidRDefault="00B41A88" w:rsidP="00B41A88">
            <w:pPr>
              <w:jc w:val="both"/>
              <w:rPr>
                <w:bCs/>
                <w:sz w:val="22"/>
                <w:szCs w:val="22"/>
              </w:rPr>
            </w:pPr>
            <w:r w:rsidRPr="00AC64BA">
              <w:rPr>
                <w:bCs/>
                <w:sz w:val="22"/>
                <w:szCs w:val="22"/>
              </w:rPr>
              <w:t xml:space="preserve">Zarówno skrócenie okresu przedawnienia roszczeń stwierdzonych prawomocnym orzeczeniem sądu, jak zakaz windykowania zobowiązań naturalnych stanowią przejaw jaskrawego dyskryminowania wierzycieli wtórnych względem wierzycieli pierwotnych, którzy zachowują szerszy katalog uprawnień. Takie rozwiązania należy uznać za sprzeczne z fundamentalnymi zasadami kodeksu cywilnego (na gruncie k.c. brak jest jakiegokolwiek rozróżniania wierzycieli), a w szczególności sprzeczne z istotą umowy cesji wierzytelności. Art. 58 Projektu powinien zostać usunięty.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5089FF" w14:textId="6245F8E7" w:rsidR="00B41A88" w:rsidRPr="00873465" w:rsidRDefault="00E23F60" w:rsidP="00B41A88">
            <w:pPr>
              <w:snapToGrid w:val="0"/>
              <w:rPr>
                <w:b/>
                <w:bCs/>
                <w:sz w:val="22"/>
                <w:szCs w:val="22"/>
              </w:rPr>
            </w:pPr>
            <w:r w:rsidRPr="00873465">
              <w:rPr>
                <w:b/>
                <w:bCs/>
                <w:sz w:val="22"/>
                <w:szCs w:val="22"/>
              </w:rPr>
              <w:t>Nie uwzględniono</w:t>
            </w:r>
            <w:r w:rsidR="00873465">
              <w:rPr>
                <w:b/>
                <w:bCs/>
                <w:sz w:val="22"/>
                <w:szCs w:val="22"/>
              </w:rPr>
              <w:t>.</w:t>
            </w:r>
          </w:p>
          <w:p w14:paraId="48BA37C3" w14:textId="12418836" w:rsidR="00E23F60" w:rsidRPr="007749DD" w:rsidRDefault="00E23F60" w:rsidP="00873465">
            <w:pPr>
              <w:snapToGrid w:val="0"/>
              <w:jc w:val="both"/>
              <w:rPr>
                <w:sz w:val="22"/>
                <w:szCs w:val="22"/>
              </w:rPr>
            </w:pPr>
            <w:r w:rsidRPr="00873465">
              <w:rPr>
                <w:bCs/>
                <w:sz w:val="22"/>
                <w:szCs w:val="22"/>
              </w:rPr>
              <w:t>Dla roszczeń związanych z prowadzeniem działalności gospodarczej termin przedawnienia wynosi 3 lata (art. 118 k.c.), natomiast takie roszczenie stwierdzone prawomocnym orzeczeniem sądu przedawnia się z upływem 6 lat (art. 125 § 1 k.c.). W ocenie projektodawcy sytuacja, w której roszczenie przedsiębiorcy będącego kredytodawcą, instytucją pożyczkową, przedawnia się z upływem 3 lat, a roszczenia tych podmiotów m.in. przeciwko konsumentowi, stwierdzone już prawomocnym orzeczeniem sądu dopiero po 6 latach, jest niespójna i wymaga interwencji legislacyjnej.</w:t>
            </w:r>
          </w:p>
        </w:tc>
      </w:tr>
      <w:tr w:rsidR="00B41A88" w:rsidRPr="007749DD" w14:paraId="35E6EFB2" w14:textId="77777777" w:rsidTr="00873465">
        <w:trPr>
          <w:trHeight w:val="1288"/>
          <w:jc w:val="center"/>
        </w:trPr>
        <w:tc>
          <w:tcPr>
            <w:tcW w:w="704" w:type="dxa"/>
            <w:tcBorders>
              <w:top w:val="single" w:sz="4" w:space="0" w:color="000000" w:themeColor="text1"/>
              <w:left w:val="single" w:sz="4" w:space="0" w:color="000000" w:themeColor="text1"/>
              <w:bottom w:val="single" w:sz="4" w:space="0" w:color="000000" w:themeColor="text1"/>
            </w:tcBorders>
          </w:tcPr>
          <w:p w14:paraId="620EEBCF"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71794587" w14:textId="15F109FF" w:rsidR="00B41A88" w:rsidRPr="00AC64BA" w:rsidRDefault="00B41A88" w:rsidP="00B41A88">
            <w:pPr>
              <w:suppressAutoHyphens w:val="0"/>
              <w:autoSpaceDE w:val="0"/>
              <w:autoSpaceDN w:val="0"/>
              <w:adjustRightInd w:val="0"/>
              <w:jc w:val="both"/>
              <w:rPr>
                <w:sz w:val="22"/>
                <w:szCs w:val="22"/>
                <w:lang w:eastAsia="pl-PL"/>
              </w:rPr>
            </w:pPr>
            <w:r w:rsidRPr="00AC64BA">
              <w:rPr>
                <w:bCs/>
                <w:sz w:val="22"/>
                <w:szCs w:val="22"/>
              </w:rPr>
              <w:t>Art. 59</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546D4A5F" w14:textId="17ED0608"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5B192CA4" w14:textId="0B90B802" w:rsidR="00B41A88" w:rsidRPr="00AC64BA" w:rsidRDefault="00B41A88" w:rsidP="00B41A88">
            <w:pPr>
              <w:spacing w:after="200"/>
              <w:contextualSpacing/>
              <w:jc w:val="both"/>
              <w:rPr>
                <w:b/>
                <w:sz w:val="22"/>
                <w:szCs w:val="22"/>
              </w:rPr>
            </w:pPr>
            <w:r w:rsidRPr="00AC64BA">
              <w:rPr>
                <w:b/>
                <w:sz w:val="22"/>
                <w:szCs w:val="22"/>
              </w:rPr>
              <w:t xml:space="preserve">Ad art. 59 projektu </w:t>
            </w:r>
          </w:p>
          <w:p w14:paraId="557DFC68" w14:textId="77777777" w:rsidR="00B41A88" w:rsidRPr="00AC64BA" w:rsidRDefault="00B41A88" w:rsidP="00B41A88">
            <w:pPr>
              <w:jc w:val="both"/>
              <w:rPr>
                <w:bCs/>
                <w:sz w:val="22"/>
                <w:szCs w:val="22"/>
              </w:rPr>
            </w:pPr>
            <w:r w:rsidRPr="00AC64BA">
              <w:rPr>
                <w:bCs/>
                <w:sz w:val="22"/>
                <w:szCs w:val="22"/>
              </w:rPr>
              <w:t xml:space="preserve">Artykuł 59 Projektu powinien zostać bezwzględnie usunięty. </w:t>
            </w:r>
          </w:p>
          <w:p w14:paraId="5D490AFB" w14:textId="77777777" w:rsidR="00B41A88" w:rsidRPr="00AC64BA" w:rsidRDefault="00B41A88" w:rsidP="00B41A88">
            <w:pPr>
              <w:jc w:val="both"/>
              <w:rPr>
                <w:bCs/>
                <w:sz w:val="22"/>
                <w:szCs w:val="22"/>
              </w:rPr>
            </w:pPr>
          </w:p>
          <w:p w14:paraId="563719EC" w14:textId="77777777" w:rsidR="00B41A88" w:rsidRPr="00AC64BA" w:rsidRDefault="00B41A88" w:rsidP="00B41A88">
            <w:pPr>
              <w:jc w:val="both"/>
              <w:rPr>
                <w:bCs/>
                <w:sz w:val="22"/>
                <w:szCs w:val="22"/>
              </w:rPr>
            </w:pPr>
            <w:r w:rsidRPr="00AC64BA">
              <w:rPr>
                <w:bCs/>
                <w:sz w:val="22"/>
                <w:szCs w:val="22"/>
              </w:rPr>
              <w:t xml:space="preserve">Podwyższenie kwoty wymagalnych zobowiązań dłużnika będącego konsumentem z kwoty 200 zł na 500 zł z jednoczesnym zwiększeniem liczby dni opóźnienia (wymagalności ) umożliwiających przekazanie informacji gospodarczych do biura informacji gospodarczej przyczyni się do większego zadłużania się konsumentów. </w:t>
            </w:r>
          </w:p>
          <w:p w14:paraId="604488F6" w14:textId="5E0A5C20" w:rsidR="00B41A88" w:rsidRPr="00AC64BA" w:rsidRDefault="00B41A88" w:rsidP="00B41A88">
            <w:pPr>
              <w:spacing w:after="200"/>
              <w:contextualSpacing/>
              <w:jc w:val="both"/>
              <w:rPr>
                <w:bCs/>
                <w:sz w:val="22"/>
                <w:szCs w:val="22"/>
              </w:rPr>
            </w:pPr>
            <w:r w:rsidRPr="00AC64BA">
              <w:rPr>
                <w:bCs/>
                <w:sz w:val="22"/>
                <w:szCs w:val="22"/>
              </w:rPr>
              <w:t>Tego rodzaju zmiana spowoduje, że osoby notorycznie nie płacące swoich zobowiązań poczują się jeszcze bardziej bezkarne. To – wbrew intencjom Projektodawcy – wprowadzi  konsumentów ostatecznie w spiralę zadłużenia. Osoby, które nie płacą swoich zobowiązań będą uznawały, że są „bezpieczne” i „niewidoczne”  dla wierzycieli przez jeszcze dłuższy czas pomimo, że mają większą kwotę zadłużenia. Proponowana zmiana stoi w sprzeczności ze zmianą wprowadzoną do ustawy o udostępnianiu informacji gospodarczych w ramach tzw. pakietu wierzycielskiego z 2017r., w którym to głównym argumentem za wprowadzeniem możliwości przekazywania informacji gospodarczych po 30 dniach zaległości było zapobieganie zatorom płatniczym, zapobieganie wpadaniu w spiralę zadłużenia przez konsumentów oraz stworzenie systemu szybkiego ostrzegania i reagowania zapobiegającego generowaniu kolejnych nieściągalnych należności.</w:t>
            </w:r>
          </w:p>
          <w:p w14:paraId="40471E02" w14:textId="77777777" w:rsidR="00B41A88" w:rsidRPr="00AC64BA" w:rsidRDefault="00B41A88" w:rsidP="00B41A88">
            <w:pPr>
              <w:autoSpaceDE w:val="0"/>
              <w:autoSpaceDN w:val="0"/>
              <w:jc w:val="both"/>
              <w:rPr>
                <w:bCs/>
                <w:sz w:val="22"/>
                <w:szCs w:val="22"/>
              </w:rPr>
            </w:pPr>
          </w:p>
          <w:p w14:paraId="3CDA903D" w14:textId="32CE28F8" w:rsidR="00B41A88" w:rsidRPr="00AC64BA" w:rsidRDefault="00B41A88" w:rsidP="00B41A88">
            <w:pPr>
              <w:autoSpaceDE w:val="0"/>
              <w:autoSpaceDN w:val="0"/>
              <w:jc w:val="both"/>
              <w:rPr>
                <w:bCs/>
                <w:sz w:val="22"/>
                <w:szCs w:val="22"/>
              </w:rPr>
            </w:pPr>
            <w:r w:rsidRPr="00AC64BA">
              <w:rPr>
                <w:bCs/>
                <w:sz w:val="22"/>
                <w:szCs w:val="22"/>
              </w:rPr>
              <w:t xml:space="preserve">Zmiana z 2017 r. miała umożliwić dostęp do informacji o masowych, </w:t>
            </w:r>
            <w:proofErr w:type="spellStart"/>
            <w:r w:rsidRPr="00AC64BA">
              <w:rPr>
                <w:bCs/>
                <w:sz w:val="22"/>
                <w:szCs w:val="22"/>
              </w:rPr>
              <w:t>niskokwotowych</w:t>
            </w:r>
            <w:proofErr w:type="spellEnd"/>
            <w:r w:rsidRPr="00AC64BA">
              <w:rPr>
                <w:bCs/>
                <w:sz w:val="22"/>
                <w:szCs w:val="22"/>
              </w:rPr>
              <w:t xml:space="preserve"> należnościach np. opłat za brak biletu w komunikacji. Obecna propozycja uniemożliwi dostęp o tych kategorii informacji. W przypadku wdrożenia proponowanej zmiany wierzyciele dokonujący weryfikacji w biurach informacji gospodarczej nie będą mieli informacji na temat zadłużenia dłużnika niższego niż  500 zł. Proponowany zwiększony próg kwoty zadłużenia spowoduje, iż wierzyciele nigdy nie zobaczą zadłużenia konsumenta niższego niż 500 zł, ponieważ nie zostanie ono przekazane do baz biur lub otrzymają informację o zadłużeniu dopiero , gdy upłynie minimum 2, a właściwie 3 miesiące zanim dług tego rodzaju w ogóle trafi do biura informacji gospodarczej jako informacja gospodarcza. </w:t>
            </w:r>
          </w:p>
          <w:p w14:paraId="27DC3C65" w14:textId="77777777" w:rsidR="00B41A88" w:rsidRPr="00AC64BA" w:rsidRDefault="00B41A88" w:rsidP="00B41A88">
            <w:pPr>
              <w:autoSpaceDE w:val="0"/>
              <w:autoSpaceDN w:val="0"/>
              <w:jc w:val="both"/>
              <w:rPr>
                <w:bCs/>
                <w:sz w:val="22"/>
                <w:szCs w:val="22"/>
              </w:rPr>
            </w:pPr>
          </w:p>
          <w:p w14:paraId="4705A610" w14:textId="77777777" w:rsidR="00B41A88" w:rsidRPr="00AC64BA" w:rsidRDefault="00B41A88" w:rsidP="00B41A88">
            <w:pPr>
              <w:autoSpaceDE w:val="0"/>
              <w:autoSpaceDN w:val="0"/>
              <w:jc w:val="both"/>
              <w:rPr>
                <w:bCs/>
                <w:sz w:val="22"/>
                <w:szCs w:val="22"/>
              </w:rPr>
            </w:pPr>
            <w:r w:rsidRPr="00AC64BA">
              <w:rPr>
                <w:bCs/>
                <w:sz w:val="22"/>
                <w:szCs w:val="22"/>
              </w:rPr>
              <w:t>Zwiększenie liczby dni wymagalności do 60 spowoduje, że realnie dług będzie opóźniony co najmniej 60 dni (zakładając, iż stosowne wezwanie do zapłaty zostanie wysłane w trakcie trwania 60 dniowego okresu zaległości, wysłanie wezwania do zapłaty po 60 dniu spowoduje opóźnienie o dalsze 30 dni).</w:t>
            </w:r>
          </w:p>
          <w:p w14:paraId="3EC09692" w14:textId="77777777" w:rsidR="00B41A88" w:rsidRPr="00AC64BA" w:rsidRDefault="00B41A88" w:rsidP="00B41A88">
            <w:pPr>
              <w:autoSpaceDE w:val="0"/>
              <w:autoSpaceDN w:val="0"/>
              <w:jc w:val="both"/>
              <w:rPr>
                <w:bCs/>
                <w:sz w:val="22"/>
                <w:szCs w:val="22"/>
              </w:rPr>
            </w:pPr>
          </w:p>
          <w:p w14:paraId="7D5D21F2" w14:textId="77777777" w:rsidR="00B41A88" w:rsidRPr="00AC64BA" w:rsidRDefault="00B41A88" w:rsidP="00B41A88">
            <w:pPr>
              <w:autoSpaceDE w:val="0"/>
              <w:autoSpaceDN w:val="0"/>
              <w:jc w:val="both"/>
              <w:rPr>
                <w:bCs/>
                <w:sz w:val="22"/>
                <w:szCs w:val="22"/>
              </w:rPr>
            </w:pPr>
            <w:r w:rsidRPr="00AC64BA">
              <w:rPr>
                <w:bCs/>
                <w:sz w:val="22"/>
                <w:szCs w:val="22"/>
              </w:rPr>
              <w:t>Zobowiązanie kredytowe wymagalne od 60 dni, np. w przypadku kredytów bankowych traktowane jest jako kredyt zagrożony, skutkujący natychmiastowym wypowiedzeniem umowy kredytowej. W takim przypadku kontrakt zostanie zakończony, bycie w zwłoce ze spłatą zadłużenia nie oznacza automatycznie uzyskania dodatkowego czasu na spłatę zadłużenia, wydłuża jedynie czas w jakim dłużnik może zaciągać kolejne zobowiązania bez możliwości ostrzeżenia rynku o jego sytuacji finansowej np. wierzyciel umożliwi osobie już zadłużonej  w ciągu 60 dni kolejny zakup lub udzieli kolejnego kredytu konsumenckiego. Skutkiem będzie -jak wskazano wyżej-spirala zadłużenia i w końcowym efekcie niewypłacalność wielu dłużników - konsumentów. Proponowana zmiana – wbrew intencjom ustawodawcy – zadziała ze szkodą dla konsumenta.</w:t>
            </w:r>
          </w:p>
          <w:p w14:paraId="78EC48FB" w14:textId="77777777" w:rsidR="00B41A88" w:rsidRPr="00AC64BA" w:rsidRDefault="00B41A88" w:rsidP="00B41A88">
            <w:pPr>
              <w:autoSpaceDE w:val="0"/>
              <w:autoSpaceDN w:val="0"/>
              <w:jc w:val="both"/>
              <w:rPr>
                <w:bCs/>
                <w:sz w:val="22"/>
                <w:szCs w:val="22"/>
              </w:rPr>
            </w:pPr>
          </w:p>
          <w:p w14:paraId="1BB8BFFE" w14:textId="77777777" w:rsidR="00B41A88" w:rsidRPr="00AC64BA" w:rsidRDefault="00B41A88" w:rsidP="00B41A88">
            <w:pPr>
              <w:autoSpaceDE w:val="0"/>
              <w:autoSpaceDN w:val="0"/>
              <w:jc w:val="both"/>
              <w:rPr>
                <w:bCs/>
                <w:sz w:val="22"/>
                <w:szCs w:val="22"/>
              </w:rPr>
            </w:pPr>
            <w:r w:rsidRPr="00AC64BA">
              <w:rPr>
                <w:bCs/>
                <w:sz w:val="22"/>
                <w:szCs w:val="22"/>
              </w:rPr>
              <w:t xml:space="preserve">Rodzi się też pytanie o sytuację kredytodawców konsumenckich wobec takiej zmiany, bo dokonywana przez nich ocena zdolności kredytowej między innymi w oparciu o dane z biur informacji gospodarczej pozostanie ułomna, niepełna, pozbawiona bieżącej wiedzy o znaczącym zadłużeniu, zwłaszcza jeżeli weźmiemy pod uwagę, że pierwszą oznaką zagrożenia w spłacie kredytów  jest opóźnienie w płatnościach rachunków telefonicznych, czy opłat za gaz, elektryczność, a te, jak wiemy wynoszą zazwyczaj mniej niż 500 zł.   </w:t>
            </w:r>
          </w:p>
          <w:p w14:paraId="19AA4207" w14:textId="77777777" w:rsidR="00B41A88" w:rsidRPr="00AC64BA" w:rsidRDefault="00B41A88" w:rsidP="00B41A88">
            <w:pPr>
              <w:autoSpaceDE w:val="0"/>
              <w:autoSpaceDN w:val="0"/>
              <w:jc w:val="both"/>
              <w:rPr>
                <w:bCs/>
                <w:sz w:val="22"/>
                <w:szCs w:val="22"/>
              </w:rPr>
            </w:pPr>
          </w:p>
          <w:p w14:paraId="3E294A29" w14:textId="54508E3E" w:rsidR="00B41A88" w:rsidRPr="00AC64BA" w:rsidRDefault="00B41A88" w:rsidP="00B41A88">
            <w:pPr>
              <w:autoSpaceDE w:val="0"/>
              <w:autoSpaceDN w:val="0"/>
              <w:jc w:val="both"/>
              <w:rPr>
                <w:bCs/>
                <w:sz w:val="22"/>
                <w:szCs w:val="22"/>
              </w:rPr>
            </w:pPr>
            <w:r w:rsidRPr="00AC64BA">
              <w:rPr>
                <w:bCs/>
                <w:sz w:val="22"/>
                <w:szCs w:val="22"/>
              </w:rPr>
              <w:t xml:space="preserve">Dla przykładu: w przypadku jednego tylko biura informacji gospodarczej - informacje gospodarcze o zadłużeniu konsumentów w przedziale do 500 zł zgromadzone w latach 2020-2022 stanowią ok. 24 % całej bazy. W przypadku informacji gospodarczych o zadłużeniu przedsiębiorców do 1000 zł zgromadzonych w latach 2020-2022 stanowią </w:t>
            </w:r>
            <w:r w:rsidRPr="00AC64BA">
              <w:rPr>
                <w:bCs/>
                <w:sz w:val="22"/>
                <w:szCs w:val="22"/>
              </w:rPr>
              <w:lastRenderedPageBreak/>
              <w:t xml:space="preserve">one aż  39,35 % bazy. Gdyby tych informacji nie można było zgromadzić we wskazanym wyżej okresie z uwagi na barierę kwoty zadłużenia (takiej, jak w obecnej propozycji ustawowej), to oznaczałoby, że baza nie dysponowałaby informacjami dla wierzycieli o łącznej kwocie  zadłużenia konsumentów wynoszącej 337.409.613,83 zł, a w przypadku przedsiębiorców brakująca  łączna kwota zadłużenia wynosiłaby 128.697.300,70 zł. Podwyższenie progu i terminów wymagalności oznacza też, że brak informacji o konsumencie, który nie płaci swoich zobowiązań w terminie do dwóch miesięcy byłby dla rynku informacją pozytywną, co de facto wprowadzałoby w błąd potencjalnych wierzycieli.  Wydaje się, że dochodziłoby tu do promowania postaw nagannych z punktu widzenia społecznego, co szczególnie w dobie zawirowań gospodarczych mogłoby być nadużywane. </w:t>
            </w:r>
          </w:p>
          <w:p w14:paraId="510EE9F3" w14:textId="77777777" w:rsidR="00B41A88" w:rsidRPr="00AC64BA" w:rsidRDefault="00B41A88" w:rsidP="00B41A88">
            <w:pPr>
              <w:autoSpaceDE w:val="0"/>
              <w:autoSpaceDN w:val="0"/>
              <w:jc w:val="both"/>
              <w:rPr>
                <w:bCs/>
                <w:sz w:val="22"/>
                <w:szCs w:val="22"/>
              </w:rPr>
            </w:pPr>
            <w:r w:rsidRPr="00AC64BA">
              <w:rPr>
                <w:bCs/>
                <w:sz w:val="22"/>
                <w:szCs w:val="22"/>
              </w:rPr>
              <w:t xml:space="preserve"> </w:t>
            </w:r>
          </w:p>
          <w:p w14:paraId="2BA90837" w14:textId="316DC05C" w:rsidR="00B41A88" w:rsidRPr="00AC64BA" w:rsidRDefault="00B41A88" w:rsidP="00B41A88">
            <w:pPr>
              <w:autoSpaceDE w:val="0"/>
              <w:autoSpaceDN w:val="0"/>
              <w:jc w:val="both"/>
              <w:rPr>
                <w:bCs/>
                <w:sz w:val="22"/>
                <w:szCs w:val="22"/>
              </w:rPr>
            </w:pPr>
            <w:r w:rsidRPr="00AC64BA">
              <w:rPr>
                <w:bCs/>
                <w:sz w:val="22"/>
                <w:szCs w:val="22"/>
              </w:rPr>
              <w:t xml:space="preserve">Tym bardziej negatywnie należy ocenić podwyższenie progu zobowiązania w przypadku przedsiębiorców – podmiotów profesjonalnych w obrocie, do których stosuje się podwyższoną miarę staranności. Dopuszczanie do kumulowania zaległości jest jednoczesną zachętą do „darmowego kredytu”, a dodatkowo kreuje na nowo problem zatorów płatniczych, który to problem starano się rozwiązać przy wielokrotnych nowelizacjach ustawy o big. Powyższy postulat stoi w sprzeczności z wcześniej dokonanymi zmianami w ustawie, której celem było niedopuszczenie do nadmiernego zadłużania mikro i małych przedsiębiorców. Z doświadczenia i badań biur wynikało, iż </w:t>
            </w:r>
            <w:proofErr w:type="spellStart"/>
            <w:r w:rsidRPr="00AC64BA">
              <w:rPr>
                <w:bCs/>
                <w:sz w:val="22"/>
                <w:szCs w:val="22"/>
              </w:rPr>
              <w:t>niskokwotowe</w:t>
            </w:r>
            <w:proofErr w:type="spellEnd"/>
            <w:r w:rsidRPr="00AC64BA">
              <w:rPr>
                <w:bCs/>
                <w:sz w:val="22"/>
                <w:szCs w:val="22"/>
              </w:rPr>
              <w:t xml:space="preserve"> wierzytelności stanowiły dla tych podmiotów największe obciążenia prowadzące często do utraty płynności finansowej, a w konsekwencji do ograniczenia skali działalności, redukcji zatrudnienia czy też likwidacji prowadzonej działalności. Co więcej: jeśli MŚP będą miały odbiegające od realiów dane dotyczące zadłużenia potencjalnych kontrahentów, nie będą mogły w sposób wiarygodny dokonywać ich weryfikacji.  Ocena wiarygodności kontrahenta będzie upośledzona i niejednokrotnie MŚP udzielać będą kredytu kupieckiemu i sprzedawać towary lub usługi z odroczonym terminem płatności podmiotom, które oceniłyby negatywnie mając dostęp do informacji.</w:t>
            </w:r>
          </w:p>
          <w:p w14:paraId="7FCB01F0" w14:textId="0BC2D7B0" w:rsidR="00B41A88" w:rsidRPr="00AC64BA" w:rsidRDefault="00B41A88" w:rsidP="00B41A88">
            <w:pPr>
              <w:autoSpaceDE w:val="0"/>
              <w:autoSpaceDN w:val="0"/>
              <w:jc w:val="both"/>
              <w:rPr>
                <w:bCs/>
                <w:sz w:val="22"/>
                <w:szCs w:val="22"/>
              </w:rPr>
            </w:pPr>
            <w:r w:rsidRPr="00AC64BA">
              <w:rPr>
                <w:bCs/>
                <w:sz w:val="22"/>
                <w:szCs w:val="22"/>
              </w:rPr>
              <w:t xml:space="preserve">Jednoznacznie negatywnie należy ocenić propozycję skrócenia do 3 lat okresu, w którym informacja gospodarcza może zostać przekazana do bazy biura od momentu powstania zaległości. Zaproponowana zmiana jest skorelowana jedynie ze szczególną kategorią zobowiązań, które przedawniają się z upływem lat 3. Uprzednio zmiany ustawowe skorelowane były z ogólną zasadą upływu terminu przedawnienia opisaną w kodeksie cywilnym tj. zasadą upływu terminu przedawnienia po 6 latach. Nie można również pominąć faktu, iż upływ terminu przedawnienia oznacza, iż zobowiązanie nie może być dochodzone w drodze przymusu sądowego. Nie oznacza to natomiast, że zobowiązanie przestało istnieć, zmieniło ono swój charakter na zobowiązanie tzw. naturalne – nadal istniejące. Proponowana zmiana oznacza swoistą abolicję dla dłużników. Abolicję ze względu na przedawnienie roszczeń,  jednocześnie pozbawiając wierzycieli kolejnej możliwości na odzyskanie niespłacanych latami zobowiązań.   Dla wielu wierzycieli </w:t>
            </w:r>
            <w:r w:rsidRPr="00AC64BA">
              <w:rPr>
                <w:bCs/>
                <w:sz w:val="22"/>
                <w:szCs w:val="22"/>
              </w:rPr>
              <w:lastRenderedPageBreak/>
              <w:t xml:space="preserve">taka zmiana oznaczałaby każdorazowo konieczność kierowania każdej sprawy na drogę kosztownego i długotrwałego postępowania sądowego. W praktyce może to oznaczać brak jakiejkolwiek szansy na odzyskanie należności, dłużnik w trakcie postępowania sądowego może bowiem pozbyć się całego swojego majątku, uniemożliwiając tym samym wierzycielowi skuteczną egzekucję.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9D9FAE" w14:textId="77777777" w:rsidR="00B41A88" w:rsidRDefault="00F5607D" w:rsidP="00B41A88">
            <w:pPr>
              <w:snapToGrid w:val="0"/>
              <w:rPr>
                <w:b/>
                <w:bCs/>
                <w:sz w:val="22"/>
                <w:szCs w:val="22"/>
              </w:rPr>
            </w:pPr>
            <w:r w:rsidRPr="0093391D">
              <w:rPr>
                <w:b/>
                <w:bCs/>
                <w:sz w:val="22"/>
                <w:szCs w:val="22"/>
              </w:rPr>
              <w:lastRenderedPageBreak/>
              <w:t>Częściowo uwzględniono poprzez zmianę brzmienia przepisu.</w:t>
            </w:r>
          </w:p>
          <w:p w14:paraId="42B97211" w14:textId="53B1A3F1" w:rsidR="00F5607D" w:rsidRDefault="00F5607D" w:rsidP="00B41A88">
            <w:pPr>
              <w:snapToGrid w:val="0"/>
              <w:rPr>
                <w:b/>
                <w:bCs/>
                <w:sz w:val="22"/>
                <w:szCs w:val="22"/>
              </w:rPr>
            </w:pPr>
          </w:p>
          <w:p w14:paraId="60EB24A6" w14:textId="79E8CA28" w:rsidR="00F5607D" w:rsidRDefault="00F5607D" w:rsidP="00873465">
            <w:pPr>
              <w:snapToGrid w:val="0"/>
              <w:jc w:val="both"/>
              <w:rPr>
                <w:b/>
                <w:bCs/>
                <w:sz w:val="22"/>
                <w:szCs w:val="22"/>
              </w:rPr>
            </w:pPr>
            <w:r w:rsidRPr="00810390">
              <w:rPr>
                <w:sz w:val="22"/>
                <w:szCs w:val="22"/>
              </w:rPr>
              <w:t>Projekt zakłada powrót w zakresie zasad ujawniania danych dotyczących wierzytelności do stanu prawnego obowiązującego przed zmianami wprowadzonymi ustawą z dnia 7 kwietnia 2017 r. o zmianie niektórych ustaw w celu ułatwienia dochodzenia wierzytelności</w:t>
            </w:r>
            <w:r>
              <w:rPr>
                <w:sz w:val="22"/>
                <w:szCs w:val="22"/>
              </w:rPr>
              <w:t>, tj. w zakresie okresu wymagalności.</w:t>
            </w:r>
            <w:r w:rsidRPr="00810390">
              <w:rPr>
                <w:sz w:val="22"/>
                <w:szCs w:val="22"/>
              </w:rPr>
              <w:t xml:space="preserve"> Trudności płatnicze mogą być w aktualnej sytuacji gospodarczej wywołane nie tylko zaniedbaniem dłużnika (co stanowiło powód nowelizacji ustawy w roku 2017), lecz mogą być również wynikiem obiektywnych okoliczności związanych z aktualną sytuacją gospodarczą. Sytuacja materialna Polaków pogorszyła się wskutek </w:t>
            </w:r>
            <w:r w:rsidRPr="00810390">
              <w:rPr>
                <w:sz w:val="22"/>
                <w:szCs w:val="22"/>
              </w:rPr>
              <w:lastRenderedPageBreak/>
              <w:t>epidemii COVID-19 oraz agresji Rosji na Ukrainę. Mogą występować okresowe problemy z zatrudnieniem, co uzasadnia dłuższy okres niezbędny do ujawnienia informacji w biurze informacji gospodarczej</w:t>
            </w:r>
            <w:r>
              <w:rPr>
                <w:sz w:val="22"/>
                <w:szCs w:val="22"/>
              </w:rPr>
              <w:t>.</w:t>
            </w:r>
          </w:p>
          <w:p w14:paraId="2A1655D1" w14:textId="6203B166" w:rsidR="00F5607D" w:rsidRPr="007749DD" w:rsidRDefault="00F5607D" w:rsidP="00B41A88">
            <w:pPr>
              <w:snapToGrid w:val="0"/>
              <w:rPr>
                <w:bCs/>
                <w:sz w:val="22"/>
                <w:szCs w:val="22"/>
              </w:rPr>
            </w:pPr>
          </w:p>
        </w:tc>
      </w:tr>
      <w:tr w:rsidR="00B41A88" w:rsidRPr="007749DD" w14:paraId="7FB0C9D3" w14:textId="77777777" w:rsidTr="00873465">
        <w:trPr>
          <w:trHeight w:val="1720"/>
          <w:jc w:val="center"/>
        </w:trPr>
        <w:tc>
          <w:tcPr>
            <w:tcW w:w="704" w:type="dxa"/>
            <w:tcBorders>
              <w:top w:val="single" w:sz="4" w:space="0" w:color="000000" w:themeColor="text1"/>
              <w:left w:val="single" w:sz="4" w:space="0" w:color="000000" w:themeColor="text1"/>
              <w:bottom w:val="single" w:sz="4" w:space="0" w:color="000000" w:themeColor="text1"/>
            </w:tcBorders>
          </w:tcPr>
          <w:p w14:paraId="2565D56A"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4EB915EE" w14:textId="22F29E8E"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60</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D8B1DCF" w14:textId="7B0D2D2E"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50B96C73" w14:textId="2D8C6BF2" w:rsidR="00B41A88" w:rsidRPr="00AC64BA" w:rsidRDefault="00B41A88" w:rsidP="00B41A88">
            <w:pPr>
              <w:spacing w:after="200"/>
              <w:contextualSpacing/>
              <w:jc w:val="both"/>
              <w:rPr>
                <w:b/>
                <w:sz w:val="22"/>
                <w:szCs w:val="22"/>
              </w:rPr>
            </w:pPr>
            <w:r w:rsidRPr="00AC64BA">
              <w:rPr>
                <w:b/>
                <w:sz w:val="22"/>
                <w:szCs w:val="22"/>
              </w:rPr>
              <w:t xml:space="preserve">Ad art. 60 projektu </w:t>
            </w:r>
          </w:p>
          <w:p w14:paraId="4D035994" w14:textId="0F36633D" w:rsidR="00B41A88" w:rsidRPr="00AC64BA" w:rsidRDefault="00B41A88" w:rsidP="00B41A88">
            <w:pPr>
              <w:spacing w:after="200"/>
              <w:contextualSpacing/>
              <w:jc w:val="both"/>
              <w:rPr>
                <w:bCs/>
                <w:sz w:val="22"/>
                <w:szCs w:val="22"/>
              </w:rPr>
            </w:pPr>
            <w:r w:rsidRPr="00AC64BA">
              <w:rPr>
                <w:bCs/>
                <w:sz w:val="22"/>
                <w:szCs w:val="22"/>
              </w:rPr>
              <w:t xml:space="preserve">Projekt nie zakłada przepisów przejściowych co do kwestii skrócenia terminu przedawnienia roszczeń, co oznacza, że roszczenia nieprzedawnione mogą przedawnić się w dniu wejścia w życie ustawy. W przypadku nieusunięcia projektowanych zmian </w:t>
            </w:r>
            <w:proofErr w:type="spellStart"/>
            <w:r w:rsidRPr="00AC64BA">
              <w:rPr>
                <w:bCs/>
                <w:sz w:val="22"/>
                <w:szCs w:val="22"/>
              </w:rPr>
              <w:t>ws</w:t>
            </w:r>
            <w:proofErr w:type="spellEnd"/>
            <w:r w:rsidRPr="00AC64BA">
              <w:rPr>
                <w:bCs/>
                <w:sz w:val="22"/>
                <w:szCs w:val="22"/>
              </w:rPr>
              <w:t>. przedawnień rekomendowane jest przynajmniej wprowadzenie przepisu przejściowego, zgodnie z którym skrócenie terminu przedawnienia roszczeń będzie miało zastosowanie do umów zawartych po dniu wejścia w życie ustawy.</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648044" w14:textId="7F0F11F6" w:rsidR="00C13879" w:rsidRDefault="00C13879" w:rsidP="00C13879">
            <w:pPr>
              <w:snapToGrid w:val="0"/>
              <w:rPr>
                <w:b/>
                <w:bCs/>
                <w:sz w:val="22"/>
                <w:szCs w:val="22"/>
              </w:rPr>
            </w:pPr>
            <w:r>
              <w:rPr>
                <w:b/>
                <w:bCs/>
                <w:sz w:val="22"/>
                <w:szCs w:val="22"/>
              </w:rPr>
              <w:t>U</w:t>
            </w:r>
            <w:r w:rsidRPr="0093391D">
              <w:rPr>
                <w:b/>
                <w:bCs/>
                <w:sz w:val="22"/>
                <w:szCs w:val="22"/>
              </w:rPr>
              <w:t xml:space="preserve">względniono poprzez </w:t>
            </w:r>
            <w:r>
              <w:rPr>
                <w:b/>
                <w:bCs/>
                <w:sz w:val="22"/>
                <w:szCs w:val="22"/>
              </w:rPr>
              <w:t>wprowadzenie przepisu przejściowego w tym zakresie</w:t>
            </w:r>
            <w:r w:rsidRPr="0093391D">
              <w:rPr>
                <w:b/>
                <w:bCs/>
                <w:sz w:val="22"/>
                <w:szCs w:val="22"/>
              </w:rPr>
              <w:t>.</w:t>
            </w:r>
          </w:p>
          <w:p w14:paraId="14905244" w14:textId="4589AAA6" w:rsidR="00B41A88" w:rsidRPr="007749DD" w:rsidRDefault="00B41A88" w:rsidP="00B41A88">
            <w:pPr>
              <w:snapToGrid w:val="0"/>
              <w:rPr>
                <w:sz w:val="22"/>
                <w:szCs w:val="22"/>
              </w:rPr>
            </w:pPr>
          </w:p>
        </w:tc>
      </w:tr>
      <w:tr w:rsidR="00B41A88" w:rsidRPr="007749DD" w14:paraId="0A2D1B8C" w14:textId="77777777" w:rsidTr="00873465">
        <w:trPr>
          <w:trHeight w:val="721"/>
          <w:jc w:val="center"/>
        </w:trPr>
        <w:tc>
          <w:tcPr>
            <w:tcW w:w="704" w:type="dxa"/>
            <w:tcBorders>
              <w:top w:val="single" w:sz="4" w:space="0" w:color="000000" w:themeColor="text1"/>
              <w:left w:val="single" w:sz="4" w:space="0" w:color="000000" w:themeColor="text1"/>
              <w:bottom w:val="single" w:sz="4" w:space="0" w:color="000000" w:themeColor="text1"/>
            </w:tcBorders>
          </w:tcPr>
          <w:p w14:paraId="24147589" w14:textId="77777777"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3FEDD652" w14:textId="744483DD" w:rsidR="00B41A88" w:rsidRPr="00AC64BA" w:rsidRDefault="00B41A88" w:rsidP="00B41A88">
            <w:pPr>
              <w:suppressAutoHyphens w:val="0"/>
              <w:autoSpaceDE w:val="0"/>
              <w:autoSpaceDN w:val="0"/>
              <w:adjustRightInd w:val="0"/>
              <w:jc w:val="both"/>
              <w:rPr>
                <w:sz w:val="22"/>
                <w:szCs w:val="22"/>
                <w:lang w:eastAsia="pl-PL"/>
              </w:rPr>
            </w:pPr>
            <w:r w:rsidRPr="00AC64BA">
              <w:rPr>
                <w:sz w:val="22"/>
                <w:szCs w:val="22"/>
                <w:lang w:eastAsia="pl-PL"/>
              </w:rPr>
              <w:t>Art. 61</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2243E18E" w14:textId="438B3A77" w:rsidR="00B41A88" w:rsidRPr="00AC64BA" w:rsidRDefault="00B41A88" w:rsidP="00B41A88">
            <w:pPr>
              <w:snapToGrid w:val="0"/>
              <w:jc w:val="both"/>
              <w:rPr>
                <w:sz w:val="22"/>
                <w:szCs w:val="22"/>
              </w:rPr>
            </w:pPr>
            <w:r w:rsidRPr="00AC64BA">
              <w:rPr>
                <w:sz w:val="22"/>
                <w:szCs w:val="22"/>
              </w:rPr>
              <w:t>Konfederacja Lewiatan</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63CB7912" w14:textId="38DA4834" w:rsidR="00B41A88" w:rsidRPr="00AC64BA" w:rsidRDefault="00B41A88" w:rsidP="00B41A88">
            <w:pPr>
              <w:spacing w:after="200"/>
              <w:contextualSpacing/>
              <w:jc w:val="both"/>
              <w:rPr>
                <w:b/>
                <w:sz w:val="22"/>
                <w:szCs w:val="22"/>
              </w:rPr>
            </w:pPr>
            <w:r w:rsidRPr="00AC64BA">
              <w:rPr>
                <w:b/>
                <w:sz w:val="22"/>
                <w:szCs w:val="22"/>
              </w:rPr>
              <w:t xml:space="preserve">Ad art. 61 projektu </w:t>
            </w:r>
          </w:p>
          <w:p w14:paraId="326A0436" w14:textId="77777777" w:rsidR="00B41A88" w:rsidRPr="00AC64BA" w:rsidRDefault="00B41A88" w:rsidP="00B41A88">
            <w:pPr>
              <w:autoSpaceDE w:val="0"/>
              <w:autoSpaceDN w:val="0"/>
              <w:jc w:val="both"/>
              <w:rPr>
                <w:bCs/>
                <w:sz w:val="22"/>
                <w:szCs w:val="22"/>
              </w:rPr>
            </w:pPr>
            <w:r w:rsidRPr="00AC64BA">
              <w:rPr>
                <w:bCs/>
                <w:sz w:val="22"/>
                <w:szCs w:val="22"/>
              </w:rPr>
              <w:t xml:space="preserve">Po pierwsze, tak krótkie vacatio legis oznacza, że zdecydowanie niedopracowany Projekt, przejawiający się niespójnością i z prawem krajowym i z prawem unijnym, będzie opracowywany w mniej niż 3 miesiące. </w:t>
            </w:r>
          </w:p>
          <w:p w14:paraId="2830562C" w14:textId="77777777" w:rsidR="00B41A88" w:rsidRPr="00AC64BA" w:rsidRDefault="00B41A88" w:rsidP="00B41A88">
            <w:pPr>
              <w:autoSpaceDE w:val="0"/>
              <w:autoSpaceDN w:val="0"/>
              <w:jc w:val="both"/>
              <w:rPr>
                <w:bCs/>
                <w:sz w:val="22"/>
                <w:szCs w:val="22"/>
              </w:rPr>
            </w:pPr>
          </w:p>
          <w:p w14:paraId="39EA350B" w14:textId="2910C730" w:rsidR="00B41A88" w:rsidRPr="00AC64BA" w:rsidRDefault="00B41A88" w:rsidP="00B41A88">
            <w:pPr>
              <w:autoSpaceDE w:val="0"/>
              <w:autoSpaceDN w:val="0"/>
              <w:jc w:val="both"/>
              <w:rPr>
                <w:bCs/>
                <w:sz w:val="22"/>
                <w:szCs w:val="22"/>
              </w:rPr>
            </w:pPr>
            <w:r w:rsidRPr="00AC64BA">
              <w:rPr>
                <w:bCs/>
                <w:sz w:val="22"/>
                <w:szCs w:val="22"/>
              </w:rPr>
              <w:t>Po drugie, abstrahując nawet od powyższego i od negatywnych skutków Projektu, w Projekcie zawarto rozwiązania radykalne. Mając na względzie, iż Projekt na obecnym etapie znajduje się w II połowie października 2022, oznaczałoby to, że Projektodawca przewidział nie tylko nieznany termin na dostosowanie, ale i radykalnie krótki (14 dni?).  Tytułem przykładu wskazać można vacatio legis stosowne dla przepisu skracającego termin przedawnienia dla należności stwierdzonych tytułem wykonawczym. Zaskakiwanie wierzycieli tak drastycznym skróceniem terminu przedawnienia jest jawnie sprzeczne z zasadą demokratycznego państwa prawnego i narażać może wierzycieli na potężne i nieuzasadnione straty finansowe, a w konsekwencji tego narażać Skarb Państwa na wielomiliardową odpowiedzialność odszkodowawczą.</w:t>
            </w:r>
          </w:p>
          <w:p w14:paraId="2130CF4B" w14:textId="23AE375E" w:rsidR="00B41A88" w:rsidRPr="00AC64BA" w:rsidRDefault="00B41A88" w:rsidP="00B41A88">
            <w:pPr>
              <w:jc w:val="both"/>
              <w:rPr>
                <w:bCs/>
                <w:sz w:val="22"/>
                <w:szCs w:val="22"/>
              </w:rPr>
            </w:pPr>
            <w:r w:rsidRPr="00AC64BA">
              <w:rPr>
                <w:bCs/>
                <w:sz w:val="22"/>
                <w:szCs w:val="22"/>
              </w:rPr>
              <w:t xml:space="preserve">Vacatio legis Projektu powinno być nie krótsze niż 8 miesięcy i jest to w kontekście Projektu minimum wymagane przez rzetelne, szanujące obywateli i ich pracę, zasady legislacyjne. </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30FBD0" w14:textId="77777777" w:rsidR="00C13879" w:rsidRDefault="00C13879" w:rsidP="00C13879">
            <w:pPr>
              <w:snapToGrid w:val="0"/>
              <w:rPr>
                <w:b/>
                <w:bCs/>
                <w:sz w:val="22"/>
                <w:szCs w:val="22"/>
              </w:rPr>
            </w:pPr>
            <w:r w:rsidRPr="0093391D">
              <w:rPr>
                <w:b/>
                <w:bCs/>
                <w:sz w:val="22"/>
                <w:szCs w:val="22"/>
              </w:rPr>
              <w:t>Częściowo uwzględniono poprzez zmianę brzmienia przepisu.</w:t>
            </w:r>
          </w:p>
          <w:p w14:paraId="688D2764" w14:textId="77777777" w:rsidR="00B41A88" w:rsidRPr="007749DD" w:rsidRDefault="00B41A88" w:rsidP="00B41A88">
            <w:pPr>
              <w:snapToGrid w:val="0"/>
              <w:rPr>
                <w:bCs/>
                <w:sz w:val="22"/>
                <w:szCs w:val="22"/>
              </w:rPr>
            </w:pPr>
          </w:p>
        </w:tc>
      </w:tr>
      <w:tr w:rsidR="00B41A88" w14:paraId="7086EE0D" w14:textId="77777777" w:rsidTr="00873465">
        <w:trPr>
          <w:trHeight w:val="721"/>
          <w:jc w:val="center"/>
        </w:trPr>
        <w:tc>
          <w:tcPr>
            <w:tcW w:w="704" w:type="dxa"/>
            <w:tcBorders>
              <w:top w:val="single" w:sz="4" w:space="0" w:color="000000" w:themeColor="text1"/>
              <w:left w:val="single" w:sz="4" w:space="0" w:color="000000" w:themeColor="text1"/>
              <w:bottom w:val="single" w:sz="4" w:space="0" w:color="000000" w:themeColor="text1"/>
            </w:tcBorders>
          </w:tcPr>
          <w:p w14:paraId="1F483371" w14:textId="11D387A0"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08149EA6" w14:textId="0D5D6427" w:rsidR="00B41A88" w:rsidRDefault="00B41A88" w:rsidP="00B41A88">
            <w:pPr>
              <w:jc w:val="both"/>
              <w:rPr>
                <w:sz w:val="22"/>
                <w:szCs w:val="22"/>
                <w:lang w:eastAsia="pl-PL"/>
              </w:rPr>
            </w:pPr>
            <w:r w:rsidRPr="47A2B9D5">
              <w:rPr>
                <w:sz w:val="22"/>
                <w:szCs w:val="22"/>
                <w:lang w:eastAsia="pl-PL"/>
              </w:rPr>
              <w:t>Uzasadnienie (uwaga robocza)</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D329925" w14:textId="73D816B7" w:rsidR="00B41A88" w:rsidRDefault="00B41A88" w:rsidP="00B41A88">
            <w:pPr>
              <w:jc w:val="both"/>
              <w:rPr>
                <w:sz w:val="22"/>
                <w:szCs w:val="22"/>
              </w:rPr>
            </w:pPr>
            <w:r w:rsidRPr="47A2B9D5">
              <w:rPr>
                <w:sz w:val="22"/>
                <w:szCs w:val="22"/>
              </w:rPr>
              <w:t>Główny Urząd Statystyczny</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3489B079" w14:textId="6AC0A489" w:rsidR="00B41A88" w:rsidRDefault="00B41A88" w:rsidP="00B41A88">
            <w:pPr>
              <w:jc w:val="both"/>
              <w:rPr>
                <w:rFonts w:eastAsia="Times New Roman"/>
                <w:sz w:val="22"/>
                <w:szCs w:val="22"/>
              </w:rPr>
            </w:pPr>
            <w:r w:rsidRPr="47A2B9D5">
              <w:rPr>
                <w:rFonts w:eastAsia="Times New Roman"/>
                <w:sz w:val="22"/>
                <w:szCs w:val="22"/>
              </w:rPr>
              <w:t>Proponuje się zmianę zapisu w obecnym brzmieniu: „Według danych GUS za rok 2021 działalność windykacyjną zajmowało się 75 przedsiębiorstw (w tym 18 spółek akcyjnych, 42 spółki z ograniczoną odpowiedzialnością oraz 15 podmiotów o innych formach prawnych).”. Propozycja nowej treści: „</w:t>
            </w:r>
            <w:bookmarkStart w:id="1" w:name="_Hlk123640450"/>
            <w:r w:rsidRPr="47A2B9D5">
              <w:rPr>
                <w:rFonts w:eastAsia="Times New Roman"/>
                <w:sz w:val="22"/>
                <w:szCs w:val="22"/>
              </w:rPr>
              <w:t>Według danych GUS za rok 2021 w grupie 75 badanych przedsiębiorstw windykacyjnych było 18 spółek akcyjnych, 42 spółki z ograniczoną odpowiedzialnością oraz 15 podmiotów o innych formach prawnych</w:t>
            </w:r>
            <w:bookmarkEnd w:id="1"/>
            <w:r w:rsidRPr="47A2B9D5">
              <w:rPr>
                <w:rFonts w:eastAsia="Times New Roman"/>
                <w:sz w:val="22"/>
                <w:szCs w:val="22"/>
              </w:rPr>
              <w:t xml:space="preserve">.”. </w:t>
            </w:r>
            <w:r>
              <w:br/>
            </w:r>
            <w:r w:rsidRPr="47A2B9D5">
              <w:rPr>
                <w:rFonts w:eastAsia="Times New Roman"/>
                <w:sz w:val="22"/>
                <w:szCs w:val="22"/>
              </w:rPr>
              <w:t xml:space="preserve">Dotychczasowy zapis sugeruje, że 75 przedsiębiorstw w kraju prowadzi działalność windykacyjną, a dokładnej liczby takich podmiotów nie znamy – brak jest odrębnego </w:t>
            </w:r>
            <w:r w:rsidRPr="47A2B9D5">
              <w:rPr>
                <w:rFonts w:eastAsia="Times New Roman"/>
                <w:sz w:val="22"/>
                <w:szCs w:val="22"/>
              </w:rPr>
              <w:lastRenderedPageBreak/>
              <w:t xml:space="preserve">kodu PKD dla działalności windykacyjnej. Zgodnie z treścią informacji sygnalnej „Działalność przedsiębiorstw windykacyjnych w 2021 roku” (link: </w:t>
            </w:r>
            <w:hyperlink r:id="rId11">
              <w:r w:rsidRPr="47A2B9D5">
                <w:rPr>
                  <w:rStyle w:val="Hipercze"/>
                  <w:rFonts w:eastAsia="Times New Roman"/>
                  <w:color w:val="auto"/>
                  <w:sz w:val="22"/>
                  <w:szCs w:val="22"/>
                  <w:u w:val="none"/>
                </w:rPr>
                <w:t>Główny Urząd Statystyczny / Obszary tematyczne / Podmioty gospodarcze. Wyniki finansowe / Przedsiębiorstwa finansowe / Działalność przedsiębiorstw windykacyjnych w 2021 roku</w:t>
              </w:r>
            </w:hyperlink>
            <w:r w:rsidRPr="47A2B9D5">
              <w:rPr>
                <w:rFonts w:eastAsia="Times New Roman"/>
                <w:sz w:val="22"/>
                <w:szCs w:val="22"/>
              </w:rPr>
              <w:t>) badaniem prowadzonym przez GUS objęto 75 jednostek zajmujących się windykacją.</w:t>
            </w:r>
          </w:p>
          <w:p w14:paraId="13607C01" w14:textId="04CE195C" w:rsidR="00B41A88" w:rsidRDefault="00B41A88" w:rsidP="00B41A88">
            <w:pPr>
              <w:jc w:val="both"/>
              <w:rPr>
                <w:rFonts w:eastAsia="Times New Roman"/>
                <w:sz w:val="22"/>
                <w:szCs w:val="22"/>
              </w:rPr>
            </w:pPr>
            <w:r w:rsidRPr="47A2B9D5">
              <w:rPr>
                <w:rFonts w:eastAsia="Times New Roman"/>
                <w:sz w:val="22"/>
                <w:szCs w:val="22"/>
              </w:rPr>
              <w:t xml:space="preserve"> </w:t>
            </w:r>
          </w:p>
          <w:p w14:paraId="38085538" w14:textId="7FB0DC96" w:rsidR="00B41A88" w:rsidRDefault="00B41A88" w:rsidP="00B41A88">
            <w:pPr>
              <w:jc w:val="both"/>
              <w:rPr>
                <w:rFonts w:eastAsia="Times New Roman"/>
                <w:sz w:val="22"/>
                <w:szCs w:val="22"/>
              </w:rPr>
            </w:pPr>
            <w:r w:rsidRPr="47A2B9D5">
              <w:rPr>
                <w:rFonts w:eastAsia="Times New Roman"/>
                <w:sz w:val="22"/>
                <w:szCs w:val="22"/>
              </w:rPr>
              <w:t>Ponadto należy zwrócić uwagę, że w uzasadnieniu, w szczególności w odniesieniu do informacji dotyczących badania GUS „Działalność przedsiębiorstw windykacyjnych”, są przywoływane dane zarówno za rok 2021, jak i za rok 2020. Z uwagi na powyższe proponuje się zaktualizowanie informacji w oparciu o ww. informację sygnalną GUS.</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77B559" w14:textId="326E033C" w:rsidR="00B41A88" w:rsidRPr="00873465" w:rsidRDefault="00C13879" w:rsidP="00B41A88">
            <w:pPr>
              <w:rPr>
                <w:b/>
                <w:bCs/>
                <w:sz w:val="22"/>
                <w:szCs w:val="22"/>
              </w:rPr>
            </w:pPr>
            <w:r w:rsidRPr="00873465">
              <w:rPr>
                <w:b/>
                <w:bCs/>
                <w:sz w:val="22"/>
                <w:szCs w:val="22"/>
              </w:rPr>
              <w:lastRenderedPageBreak/>
              <w:t>Uwzględniono</w:t>
            </w:r>
          </w:p>
        </w:tc>
      </w:tr>
      <w:tr w:rsidR="00B41A88" w:rsidRPr="007749DD" w14:paraId="77D17AA9" w14:textId="77777777" w:rsidTr="00873465">
        <w:trPr>
          <w:trHeight w:val="276"/>
          <w:jc w:val="center"/>
        </w:trPr>
        <w:tc>
          <w:tcPr>
            <w:tcW w:w="704" w:type="dxa"/>
            <w:tcBorders>
              <w:top w:val="single" w:sz="4" w:space="0" w:color="000000" w:themeColor="text1"/>
              <w:left w:val="single" w:sz="4" w:space="0" w:color="000000" w:themeColor="text1"/>
              <w:bottom w:val="single" w:sz="4" w:space="0" w:color="000000" w:themeColor="text1"/>
            </w:tcBorders>
          </w:tcPr>
          <w:p w14:paraId="48B62D5E" w14:textId="20AF9E55"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000000" w:themeColor="text1"/>
            </w:tcBorders>
            <w:vAlign w:val="center"/>
          </w:tcPr>
          <w:p w14:paraId="0FF73A74" w14:textId="5F044D21" w:rsidR="00B41A88" w:rsidRPr="00AC64BA" w:rsidRDefault="00B41A88" w:rsidP="00B41A88">
            <w:pPr>
              <w:snapToGrid w:val="0"/>
              <w:jc w:val="both"/>
              <w:rPr>
                <w:sz w:val="22"/>
                <w:szCs w:val="22"/>
              </w:rPr>
            </w:pPr>
            <w:r w:rsidRPr="00AC64BA">
              <w:rPr>
                <w:sz w:val="22"/>
                <w:szCs w:val="22"/>
              </w:rPr>
              <w:t>B/U</w:t>
            </w:r>
          </w:p>
        </w:tc>
        <w:tc>
          <w:tcPr>
            <w:tcW w:w="933" w:type="dxa"/>
            <w:tcBorders>
              <w:top w:val="single" w:sz="4" w:space="0" w:color="000000" w:themeColor="text1"/>
              <w:left w:val="single" w:sz="4" w:space="0" w:color="000000" w:themeColor="text1"/>
              <w:bottom w:val="single" w:sz="4" w:space="0" w:color="000000" w:themeColor="text1"/>
            </w:tcBorders>
            <w:vAlign w:val="center"/>
          </w:tcPr>
          <w:p w14:paraId="1A8A3CAC" w14:textId="35E5EDFB" w:rsidR="00B41A88" w:rsidRPr="00AC64BA" w:rsidRDefault="00B41A88" w:rsidP="00B41A88">
            <w:pPr>
              <w:snapToGrid w:val="0"/>
              <w:jc w:val="both"/>
              <w:rPr>
                <w:sz w:val="22"/>
                <w:szCs w:val="22"/>
              </w:rPr>
            </w:pPr>
            <w:r w:rsidRPr="00AC64BA">
              <w:rPr>
                <w:sz w:val="22"/>
                <w:szCs w:val="22"/>
              </w:rPr>
              <w:t>Naczelny Sąd Administracyjny</w:t>
            </w:r>
          </w:p>
        </w:tc>
        <w:tc>
          <w:tcPr>
            <w:tcW w:w="7938" w:type="dxa"/>
            <w:tcBorders>
              <w:top w:val="single" w:sz="4" w:space="0" w:color="000000" w:themeColor="text1"/>
              <w:left w:val="single" w:sz="4" w:space="0" w:color="000000" w:themeColor="text1"/>
              <w:bottom w:val="single" w:sz="4" w:space="0" w:color="000000" w:themeColor="text1"/>
            </w:tcBorders>
            <w:vAlign w:val="center"/>
          </w:tcPr>
          <w:p w14:paraId="444665BB" w14:textId="61FE28E0" w:rsidR="00B41A88" w:rsidRPr="00AC64BA" w:rsidRDefault="00B41A88" w:rsidP="00B41A88">
            <w:pPr>
              <w:jc w:val="both"/>
              <w:rPr>
                <w:sz w:val="22"/>
                <w:szCs w:val="22"/>
              </w:rPr>
            </w:pPr>
            <w:r w:rsidRPr="00AC64BA">
              <w:rPr>
                <w:sz w:val="22"/>
                <w:szCs w:val="22"/>
              </w:rPr>
              <w:t>Brak uwag do projektu</w:t>
            </w:r>
          </w:p>
        </w:tc>
        <w:tc>
          <w:tcPr>
            <w:tcW w:w="40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B98934" w14:textId="77777777" w:rsidR="00B41A88" w:rsidRPr="007749DD" w:rsidRDefault="00B41A88" w:rsidP="00B41A88">
            <w:pPr>
              <w:snapToGrid w:val="0"/>
              <w:rPr>
                <w:bCs/>
                <w:sz w:val="22"/>
                <w:szCs w:val="22"/>
              </w:rPr>
            </w:pPr>
          </w:p>
        </w:tc>
      </w:tr>
      <w:tr w:rsidR="00B41A88" w:rsidRPr="007749DD" w14:paraId="6DA64D3E" w14:textId="77777777" w:rsidTr="00873465">
        <w:trPr>
          <w:trHeight w:val="276"/>
          <w:jc w:val="center"/>
        </w:trPr>
        <w:tc>
          <w:tcPr>
            <w:tcW w:w="704" w:type="dxa"/>
            <w:tcBorders>
              <w:top w:val="single" w:sz="4" w:space="0" w:color="000000" w:themeColor="text1"/>
              <w:left w:val="single" w:sz="4" w:space="0" w:color="000000" w:themeColor="text1"/>
              <w:bottom w:val="single" w:sz="4" w:space="0" w:color="auto"/>
            </w:tcBorders>
          </w:tcPr>
          <w:p w14:paraId="45E6700D" w14:textId="31F1345F" w:rsidR="00B41A88" w:rsidRPr="00CA4923" w:rsidRDefault="00B41A88" w:rsidP="00CA4923">
            <w:pPr>
              <w:pStyle w:val="Akapitzlist"/>
              <w:numPr>
                <w:ilvl w:val="0"/>
                <w:numId w:val="11"/>
              </w:numPr>
              <w:rPr>
                <w:sz w:val="22"/>
                <w:szCs w:val="22"/>
              </w:rPr>
            </w:pPr>
          </w:p>
        </w:tc>
        <w:tc>
          <w:tcPr>
            <w:tcW w:w="768" w:type="dxa"/>
            <w:tcBorders>
              <w:top w:val="single" w:sz="4" w:space="0" w:color="000000" w:themeColor="text1"/>
              <w:left w:val="single" w:sz="4" w:space="0" w:color="000000" w:themeColor="text1"/>
              <w:bottom w:val="single" w:sz="4" w:space="0" w:color="auto"/>
            </w:tcBorders>
            <w:vAlign w:val="center"/>
          </w:tcPr>
          <w:p w14:paraId="3465736C" w14:textId="69AC0D40" w:rsidR="00B41A88" w:rsidRPr="00AC64BA" w:rsidRDefault="00B41A88" w:rsidP="00B41A88">
            <w:pPr>
              <w:snapToGrid w:val="0"/>
              <w:jc w:val="both"/>
              <w:rPr>
                <w:sz w:val="22"/>
                <w:szCs w:val="22"/>
              </w:rPr>
            </w:pPr>
            <w:r w:rsidRPr="00AC64BA">
              <w:rPr>
                <w:sz w:val="22"/>
                <w:szCs w:val="22"/>
              </w:rPr>
              <w:t>B/U</w:t>
            </w:r>
          </w:p>
        </w:tc>
        <w:tc>
          <w:tcPr>
            <w:tcW w:w="933" w:type="dxa"/>
            <w:tcBorders>
              <w:top w:val="single" w:sz="4" w:space="0" w:color="000000" w:themeColor="text1"/>
              <w:left w:val="single" w:sz="4" w:space="0" w:color="000000" w:themeColor="text1"/>
              <w:bottom w:val="single" w:sz="4" w:space="0" w:color="auto"/>
            </w:tcBorders>
            <w:vAlign w:val="center"/>
          </w:tcPr>
          <w:p w14:paraId="3309C1C3" w14:textId="66A8DF20" w:rsidR="00B41A88" w:rsidRPr="00AC64BA" w:rsidRDefault="00B41A88" w:rsidP="00B41A88">
            <w:pPr>
              <w:snapToGrid w:val="0"/>
              <w:jc w:val="both"/>
              <w:rPr>
                <w:sz w:val="22"/>
                <w:szCs w:val="22"/>
              </w:rPr>
            </w:pPr>
            <w:r w:rsidRPr="00AC64BA">
              <w:rPr>
                <w:sz w:val="22"/>
                <w:szCs w:val="22"/>
              </w:rPr>
              <w:t>Sąd Najwyższy</w:t>
            </w:r>
          </w:p>
        </w:tc>
        <w:tc>
          <w:tcPr>
            <w:tcW w:w="7938" w:type="dxa"/>
            <w:tcBorders>
              <w:top w:val="single" w:sz="4" w:space="0" w:color="000000" w:themeColor="text1"/>
              <w:left w:val="single" w:sz="4" w:space="0" w:color="000000" w:themeColor="text1"/>
              <w:bottom w:val="single" w:sz="4" w:space="0" w:color="auto"/>
            </w:tcBorders>
            <w:vAlign w:val="center"/>
          </w:tcPr>
          <w:p w14:paraId="185B3347" w14:textId="2825E610" w:rsidR="00B41A88" w:rsidRPr="00AC64BA" w:rsidRDefault="00B41A88" w:rsidP="00B41A88">
            <w:pPr>
              <w:jc w:val="both"/>
              <w:rPr>
                <w:sz w:val="22"/>
                <w:szCs w:val="22"/>
              </w:rPr>
            </w:pPr>
            <w:r w:rsidRPr="00AC64BA">
              <w:rPr>
                <w:sz w:val="22"/>
                <w:szCs w:val="22"/>
              </w:rPr>
              <w:t>Brak uwag do projektu</w:t>
            </w:r>
          </w:p>
        </w:tc>
        <w:tc>
          <w:tcPr>
            <w:tcW w:w="4050" w:type="dxa"/>
            <w:tcBorders>
              <w:top w:val="single" w:sz="4" w:space="0" w:color="000000" w:themeColor="text1"/>
              <w:left w:val="single" w:sz="4" w:space="0" w:color="000000" w:themeColor="text1"/>
              <w:bottom w:val="single" w:sz="4" w:space="0" w:color="auto"/>
              <w:right w:val="single" w:sz="4" w:space="0" w:color="000000" w:themeColor="text1"/>
            </w:tcBorders>
          </w:tcPr>
          <w:p w14:paraId="3C91561D" w14:textId="041DDC9D" w:rsidR="00B41A88" w:rsidRPr="007749DD" w:rsidRDefault="00B41A88" w:rsidP="00B41A88">
            <w:pPr>
              <w:snapToGrid w:val="0"/>
              <w:rPr>
                <w:sz w:val="22"/>
                <w:szCs w:val="22"/>
              </w:rPr>
            </w:pPr>
          </w:p>
          <w:p w14:paraId="190E7359" w14:textId="0AA83F43" w:rsidR="00B41A88" w:rsidRPr="007749DD" w:rsidRDefault="00B41A88" w:rsidP="00B41A88">
            <w:pPr>
              <w:snapToGrid w:val="0"/>
              <w:rPr>
                <w:sz w:val="22"/>
                <w:szCs w:val="22"/>
              </w:rPr>
            </w:pPr>
          </w:p>
          <w:p w14:paraId="7DCAF1AC" w14:textId="3505A20D" w:rsidR="00B41A88" w:rsidRPr="007749DD" w:rsidRDefault="00B41A88" w:rsidP="00B41A88">
            <w:pPr>
              <w:snapToGrid w:val="0"/>
              <w:rPr>
                <w:sz w:val="22"/>
                <w:szCs w:val="22"/>
              </w:rPr>
            </w:pPr>
          </w:p>
        </w:tc>
      </w:tr>
    </w:tbl>
    <w:p w14:paraId="5220BBB2" w14:textId="102892B6" w:rsidR="00DA5447" w:rsidRPr="007749DD" w:rsidRDefault="00DA5447" w:rsidP="00F81AB2">
      <w:pPr>
        <w:rPr>
          <w:sz w:val="22"/>
          <w:szCs w:val="22"/>
        </w:rPr>
      </w:pPr>
    </w:p>
    <w:sectPr w:rsidR="00DA5447" w:rsidRPr="007749DD" w:rsidSect="00FB49D9">
      <w:footerReference w:type="even" r:id="rId12"/>
      <w:footerReference w:type="default" r:id="rId13"/>
      <w:footnotePr>
        <w:pos w:val="beneathText"/>
      </w:footnotePr>
      <w:pgSz w:w="16837" w:h="11905"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8358E" w14:textId="77777777" w:rsidR="004913A2" w:rsidRDefault="004913A2" w:rsidP="00CE5BE0">
      <w:r>
        <w:separator/>
      </w:r>
    </w:p>
  </w:endnote>
  <w:endnote w:type="continuationSeparator" w:id="0">
    <w:p w14:paraId="531159C0" w14:textId="77777777" w:rsidR="004913A2" w:rsidRDefault="004913A2" w:rsidP="00CE5BE0">
      <w:r>
        <w:continuationSeparator/>
      </w:r>
    </w:p>
  </w:endnote>
  <w:endnote w:type="continuationNotice" w:id="1">
    <w:p w14:paraId="188B9E3F" w14:textId="77777777" w:rsidR="004913A2" w:rsidRDefault="004913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8">
    <w:altName w:val="Times New Roman"/>
    <w:panose1 w:val="00000000000000000000"/>
    <w:charset w:val="EE"/>
    <w:family w:val="auto"/>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860F7A" w:rsidRDefault="00860F7A"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3CB595B" w14:textId="77777777" w:rsidR="00860F7A" w:rsidRDefault="00860F7A" w:rsidP="00FB49D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BA1D" w14:textId="77777777" w:rsidR="00860F7A" w:rsidRDefault="00860F7A"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E7266">
      <w:rPr>
        <w:rStyle w:val="Numerstrony"/>
        <w:noProof/>
      </w:rPr>
      <w:t>4</w:t>
    </w:r>
    <w:r>
      <w:rPr>
        <w:rStyle w:val="Numerstrony"/>
      </w:rPr>
      <w:fldChar w:fldCharType="end"/>
    </w:r>
  </w:p>
  <w:p w14:paraId="5AE48A43" w14:textId="77777777" w:rsidR="00860F7A" w:rsidRDefault="00860F7A" w:rsidP="00FB49D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A0078" w14:textId="77777777" w:rsidR="004913A2" w:rsidRDefault="004913A2" w:rsidP="00CE5BE0">
      <w:r>
        <w:separator/>
      </w:r>
    </w:p>
  </w:footnote>
  <w:footnote w:type="continuationSeparator" w:id="0">
    <w:p w14:paraId="7F6142F2" w14:textId="77777777" w:rsidR="004913A2" w:rsidRDefault="004913A2" w:rsidP="00CE5BE0">
      <w:r>
        <w:continuationSeparator/>
      </w:r>
    </w:p>
  </w:footnote>
  <w:footnote w:type="continuationNotice" w:id="1">
    <w:p w14:paraId="57CA5D3D" w14:textId="77777777" w:rsidR="004913A2" w:rsidRDefault="004913A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43E66"/>
    <w:multiLevelType w:val="hybridMultilevel"/>
    <w:tmpl w:val="7D8E3B9E"/>
    <w:lvl w:ilvl="0" w:tplc="8DBE2084">
      <w:start w:val="1"/>
      <w:numFmt w:val="decimal"/>
      <w:lvlText w:val="%1."/>
      <w:lvlJc w:val="left"/>
      <w:pPr>
        <w:ind w:left="720" w:hanging="360"/>
      </w:pPr>
    </w:lvl>
    <w:lvl w:ilvl="1" w:tplc="C42A03B6">
      <w:start w:val="1"/>
      <w:numFmt w:val="lowerLetter"/>
      <w:lvlText w:val="%2."/>
      <w:lvlJc w:val="left"/>
      <w:pPr>
        <w:ind w:left="1440" w:hanging="360"/>
      </w:pPr>
    </w:lvl>
    <w:lvl w:ilvl="2" w:tplc="BEF40FA2">
      <w:start w:val="1"/>
      <w:numFmt w:val="lowerRoman"/>
      <w:lvlText w:val="%3."/>
      <w:lvlJc w:val="right"/>
      <w:pPr>
        <w:ind w:left="2160" w:hanging="180"/>
      </w:pPr>
    </w:lvl>
    <w:lvl w:ilvl="3" w:tplc="3208A5C0">
      <w:start w:val="1"/>
      <w:numFmt w:val="decimal"/>
      <w:lvlText w:val="%4."/>
      <w:lvlJc w:val="left"/>
      <w:pPr>
        <w:ind w:left="2880" w:hanging="360"/>
      </w:pPr>
    </w:lvl>
    <w:lvl w:ilvl="4" w:tplc="377AD15C">
      <w:start w:val="1"/>
      <w:numFmt w:val="lowerLetter"/>
      <w:lvlText w:val="%5."/>
      <w:lvlJc w:val="left"/>
      <w:pPr>
        <w:ind w:left="3600" w:hanging="360"/>
      </w:pPr>
    </w:lvl>
    <w:lvl w:ilvl="5" w:tplc="33AA76DA">
      <w:start w:val="1"/>
      <w:numFmt w:val="lowerRoman"/>
      <w:lvlText w:val="%6."/>
      <w:lvlJc w:val="right"/>
      <w:pPr>
        <w:ind w:left="4320" w:hanging="180"/>
      </w:pPr>
    </w:lvl>
    <w:lvl w:ilvl="6" w:tplc="0CC66D62">
      <w:start w:val="1"/>
      <w:numFmt w:val="decimal"/>
      <w:lvlText w:val="%7."/>
      <w:lvlJc w:val="left"/>
      <w:pPr>
        <w:ind w:left="5040" w:hanging="360"/>
      </w:pPr>
    </w:lvl>
    <w:lvl w:ilvl="7" w:tplc="E66C4B54">
      <w:start w:val="1"/>
      <w:numFmt w:val="lowerLetter"/>
      <w:lvlText w:val="%8."/>
      <w:lvlJc w:val="left"/>
      <w:pPr>
        <w:ind w:left="5760" w:hanging="360"/>
      </w:pPr>
    </w:lvl>
    <w:lvl w:ilvl="8" w:tplc="37505DB2">
      <w:start w:val="1"/>
      <w:numFmt w:val="lowerRoman"/>
      <w:lvlText w:val="%9."/>
      <w:lvlJc w:val="right"/>
      <w:pPr>
        <w:ind w:left="6480" w:hanging="180"/>
      </w:pPr>
    </w:lvl>
  </w:abstractNum>
  <w:abstractNum w:abstractNumId="1" w15:restartNumberingAfterBreak="0">
    <w:nsid w:val="06CA1A47"/>
    <w:multiLevelType w:val="hybridMultilevel"/>
    <w:tmpl w:val="CDB4EC98"/>
    <w:lvl w:ilvl="0" w:tplc="59E8A06C">
      <w:start w:val="1"/>
      <w:numFmt w:val="lowerLetter"/>
      <w:lvlText w:val="%1)"/>
      <w:lvlJc w:val="left"/>
      <w:pPr>
        <w:ind w:left="1227" w:hanging="360"/>
      </w:pPr>
      <w:rPr>
        <w:rFonts w:hint="default"/>
      </w:rPr>
    </w:lvl>
    <w:lvl w:ilvl="1" w:tplc="04150019" w:tentative="1">
      <w:start w:val="1"/>
      <w:numFmt w:val="lowerLetter"/>
      <w:lvlText w:val="%2."/>
      <w:lvlJc w:val="left"/>
      <w:pPr>
        <w:ind w:left="1947" w:hanging="360"/>
      </w:pPr>
    </w:lvl>
    <w:lvl w:ilvl="2" w:tplc="0415001B" w:tentative="1">
      <w:start w:val="1"/>
      <w:numFmt w:val="lowerRoman"/>
      <w:lvlText w:val="%3."/>
      <w:lvlJc w:val="right"/>
      <w:pPr>
        <w:ind w:left="2667" w:hanging="180"/>
      </w:pPr>
    </w:lvl>
    <w:lvl w:ilvl="3" w:tplc="0415000F" w:tentative="1">
      <w:start w:val="1"/>
      <w:numFmt w:val="decimal"/>
      <w:lvlText w:val="%4."/>
      <w:lvlJc w:val="left"/>
      <w:pPr>
        <w:ind w:left="3387" w:hanging="360"/>
      </w:pPr>
    </w:lvl>
    <w:lvl w:ilvl="4" w:tplc="04150019" w:tentative="1">
      <w:start w:val="1"/>
      <w:numFmt w:val="lowerLetter"/>
      <w:lvlText w:val="%5."/>
      <w:lvlJc w:val="left"/>
      <w:pPr>
        <w:ind w:left="4107" w:hanging="360"/>
      </w:pPr>
    </w:lvl>
    <w:lvl w:ilvl="5" w:tplc="0415001B" w:tentative="1">
      <w:start w:val="1"/>
      <w:numFmt w:val="lowerRoman"/>
      <w:lvlText w:val="%6."/>
      <w:lvlJc w:val="right"/>
      <w:pPr>
        <w:ind w:left="4827" w:hanging="180"/>
      </w:pPr>
    </w:lvl>
    <w:lvl w:ilvl="6" w:tplc="0415000F" w:tentative="1">
      <w:start w:val="1"/>
      <w:numFmt w:val="decimal"/>
      <w:lvlText w:val="%7."/>
      <w:lvlJc w:val="left"/>
      <w:pPr>
        <w:ind w:left="5547" w:hanging="360"/>
      </w:pPr>
    </w:lvl>
    <w:lvl w:ilvl="7" w:tplc="04150019" w:tentative="1">
      <w:start w:val="1"/>
      <w:numFmt w:val="lowerLetter"/>
      <w:lvlText w:val="%8."/>
      <w:lvlJc w:val="left"/>
      <w:pPr>
        <w:ind w:left="6267" w:hanging="360"/>
      </w:pPr>
    </w:lvl>
    <w:lvl w:ilvl="8" w:tplc="0415001B" w:tentative="1">
      <w:start w:val="1"/>
      <w:numFmt w:val="lowerRoman"/>
      <w:lvlText w:val="%9."/>
      <w:lvlJc w:val="right"/>
      <w:pPr>
        <w:ind w:left="6987" w:hanging="180"/>
      </w:pPr>
    </w:lvl>
  </w:abstractNum>
  <w:abstractNum w:abstractNumId="2" w15:restartNumberingAfterBreak="0">
    <w:nsid w:val="14A24308"/>
    <w:multiLevelType w:val="hybridMultilevel"/>
    <w:tmpl w:val="7E805EF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DAA594D"/>
    <w:multiLevelType w:val="hybridMultilevel"/>
    <w:tmpl w:val="7452D21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4B635F08"/>
    <w:multiLevelType w:val="hybridMultilevel"/>
    <w:tmpl w:val="0A1C2262"/>
    <w:lvl w:ilvl="0" w:tplc="FFFFFFF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12A40B3"/>
    <w:multiLevelType w:val="hybridMultilevel"/>
    <w:tmpl w:val="98AA20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3494422"/>
    <w:multiLevelType w:val="hybridMultilevel"/>
    <w:tmpl w:val="11C27F4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4097CFB"/>
    <w:multiLevelType w:val="hybridMultilevel"/>
    <w:tmpl w:val="535E8FEA"/>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BF97FDE"/>
    <w:multiLevelType w:val="hybridMultilevel"/>
    <w:tmpl w:val="1136AC5A"/>
    <w:lvl w:ilvl="0" w:tplc="D402F00E">
      <w:start w:val="1"/>
      <w:numFmt w:val="decimal"/>
      <w:lvlText w:val="%1)"/>
      <w:lvlJc w:val="left"/>
      <w:pPr>
        <w:ind w:left="1080" w:hanging="360"/>
      </w:pPr>
      <w:rPr>
        <w:rFonts w:asciiTheme="minorHAnsi" w:hAnsiTheme="minorHAnsi" w:cstheme="minorHAnsi" w:hint="default"/>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7E583C13"/>
    <w:multiLevelType w:val="hybridMultilevel"/>
    <w:tmpl w:val="BD16735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E8172BF"/>
    <w:multiLevelType w:val="hybridMultilevel"/>
    <w:tmpl w:val="C186B856"/>
    <w:lvl w:ilvl="0" w:tplc="C0B0CB46">
      <w:start w:val="1"/>
      <w:numFmt w:val="decimal"/>
      <w:lvlText w:val="%1)"/>
      <w:lvlJc w:val="left"/>
      <w:pPr>
        <w:ind w:left="870" w:hanging="51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45684923">
    <w:abstractNumId w:val="0"/>
  </w:num>
  <w:num w:numId="2" w16cid:durableId="1991863344">
    <w:abstractNumId w:val="7"/>
  </w:num>
  <w:num w:numId="3" w16cid:durableId="1957053766">
    <w:abstractNumId w:val="4"/>
  </w:num>
  <w:num w:numId="4" w16cid:durableId="1115101856">
    <w:abstractNumId w:val="3"/>
  </w:num>
  <w:num w:numId="5" w16cid:durableId="1105541851">
    <w:abstractNumId w:val="10"/>
  </w:num>
  <w:num w:numId="6" w16cid:durableId="710691099">
    <w:abstractNumId w:val="1"/>
  </w:num>
  <w:num w:numId="7" w16cid:durableId="1393386825">
    <w:abstractNumId w:val="9"/>
  </w:num>
  <w:num w:numId="8" w16cid:durableId="1280456698">
    <w:abstractNumId w:val="6"/>
  </w:num>
  <w:num w:numId="9" w16cid:durableId="1011569042">
    <w:abstractNumId w:val="2"/>
  </w:num>
  <w:num w:numId="10" w16cid:durableId="639264345">
    <w:abstractNumId w:val="8"/>
  </w:num>
  <w:num w:numId="11" w16cid:durableId="79464157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13E"/>
    <w:rsid w:val="00000B78"/>
    <w:rsid w:val="00003E6A"/>
    <w:rsid w:val="00006E4B"/>
    <w:rsid w:val="00010FD3"/>
    <w:rsid w:val="000113B3"/>
    <w:rsid w:val="00013350"/>
    <w:rsid w:val="00013990"/>
    <w:rsid w:val="00014A83"/>
    <w:rsid w:val="00014DEB"/>
    <w:rsid w:val="000170B2"/>
    <w:rsid w:val="000245E1"/>
    <w:rsid w:val="00027E55"/>
    <w:rsid w:val="00030934"/>
    <w:rsid w:val="000317B3"/>
    <w:rsid w:val="00035866"/>
    <w:rsid w:val="000372BF"/>
    <w:rsid w:val="0004144C"/>
    <w:rsid w:val="00041515"/>
    <w:rsid w:val="00045FEB"/>
    <w:rsid w:val="000473CD"/>
    <w:rsid w:val="00047DBB"/>
    <w:rsid w:val="00051A9F"/>
    <w:rsid w:val="00052026"/>
    <w:rsid w:val="0005219E"/>
    <w:rsid w:val="00052F90"/>
    <w:rsid w:val="00062A0D"/>
    <w:rsid w:val="00067C9F"/>
    <w:rsid w:val="00071454"/>
    <w:rsid w:val="00073741"/>
    <w:rsid w:val="0007397E"/>
    <w:rsid w:val="00074598"/>
    <w:rsid w:val="0007732A"/>
    <w:rsid w:val="0008327A"/>
    <w:rsid w:val="00084E84"/>
    <w:rsid w:val="00084F9E"/>
    <w:rsid w:val="00087D28"/>
    <w:rsid w:val="00090684"/>
    <w:rsid w:val="00092220"/>
    <w:rsid w:val="00095197"/>
    <w:rsid w:val="000953EC"/>
    <w:rsid w:val="00095D3F"/>
    <w:rsid w:val="000A128B"/>
    <w:rsid w:val="000A4C77"/>
    <w:rsid w:val="000A66AE"/>
    <w:rsid w:val="000B0780"/>
    <w:rsid w:val="000B0FD9"/>
    <w:rsid w:val="000B1698"/>
    <w:rsid w:val="000B6A42"/>
    <w:rsid w:val="000C2B0B"/>
    <w:rsid w:val="000C366B"/>
    <w:rsid w:val="000C4314"/>
    <w:rsid w:val="000D0BEA"/>
    <w:rsid w:val="000D283C"/>
    <w:rsid w:val="000D3C8E"/>
    <w:rsid w:val="000D4E4B"/>
    <w:rsid w:val="000D52C1"/>
    <w:rsid w:val="000D6E98"/>
    <w:rsid w:val="000E089A"/>
    <w:rsid w:val="000E0CC6"/>
    <w:rsid w:val="000E1B81"/>
    <w:rsid w:val="000E4DC3"/>
    <w:rsid w:val="000E591C"/>
    <w:rsid w:val="000E6583"/>
    <w:rsid w:val="000E6914"/>
    <w:rsid w:val="000E785B"/>
    <w:rsid w:val="000E7C8B"/>
    <w:rsid w:val="000F2BEE"/>
    <w:rsid w:val="000F4767"/>
    <w:rsid w:val="000F72A1"/>
    <w:rsid w:val="00102DCB"/>
    <w:rsid w:val="00107EB4"/>
    <w:rsid w:val="0011208F"/>
    <w:rsid w:val="00112975"/>
    <w:rsid w:val="00113433"/>
    <w:rsid w:val="00120690"/>
    <w:rsid w:val="001213DC"/>
    <w:rsid w:val="00122183"/>
    <w:rsid w:val="00124FE2"/>
    <w:rsid w:val="00126529"/>
    <w:rsid w:val="00126601"/>
    <w:rsid w:val="00127248"/>
    <w:rsid w:val="00130105"/>
    <w:rsid w:val="00131BB1"/>
    <w:rsid w:val="00131F9B"/>
    <w:rsid w:val="00133E96"/>
    <w:rsid w:val="00135EA3"/>
    <w:rsid w:val="00136193"/>
    <w:rsid w:val="00141CCD"/>
    <w:rsid w:val="00144AE5"/>
    <w:rsid w:val="00150A82"/>
    <w:rsid w:val="001510CD"/>
    <w:rsid w:val="00152967"/>
    <w:rsid w:val="0015385E"/>
    <w:rsid w:val="0015682D"/>
    <w:rsid w:val="00160274"/>
    <w:rsid w:val="00160B45"/>
    <w:rsid w:val="00161AD9"/>
    <w:rsid w:val="00163704"/>
    <w:rsid w:val="00163805"/>
    <w:rsid w:val="00165AA1"/>
    <w:rsid w:val="00165B11"/>
    <w:rsid w:val="0016723D"/>
    <w:rsid w:val="001734FA"/>
    <w:rsid w:val="00173E5D"/>
    <w:rsid w:val="00174D77"/>
    <w:rsid w:val="0017672F"/>
    <w:rsid w:val="001777E8"/>
    <w:rsid w:val="00180041"/>
    <w:rsid w:val="0018200A"/>
    <w:rsid w:val="00183746"/>
    <w:rsid w:val="0018756B"/>
    <w:rsid w:val="001917A5"/>
    <w:rsid w:val="00194B19"/>
    <w:rsid w:val="00195401"/>
    <w:rsid w:val="001A049C"/>
    <w:rsid w:val="001B1554"/>
    <w:rsid w:val="001B2EC8"/>
    <w:rsid w:val="001C05DB"/>
    <w:rsid w:val="001C3623"/>
    <w:rsid w:val="001C4657"/>
    <w:rsid w:val="001C554D"/>
    <w:rsid w:val="001C6239"/>
    <w:rsid w:val="001C75BC"/>
    <w:rsid w:val="001C7D79"/>
    <w:rsid w:val="001D1340"/>
    <w:rsid w:val="001D44B7"/>
    <w:rsid w:val="001D5E66"/>
    <w:rsid w:val="001D7208"/>
    <w:rsid w:val="001E042D"/>
    <w:rsid w:val="001E0853"/>
    <w:rsid w:val="001E32EE"/>
    <w:rsid w:val="001E41E0"/>
    <w:rsid w:val="001E4B02"/>
    <w:rsid w:val="001E692F"/>
    <w:rsid w:val="001E6C3A"/>
    <w:rsid w:val="001E6FD6"/>
    <w:rsid w:val="001F0C67"/>
    <w:rsid w:val="001F11C9"/>
    <w:rsid w:val="001F226D"/>
    <w:rsid w:val="001F2A4C"/>
    <w:rsid w:val="001F4600"/>
    <w:rsid w:val="001F4EB1"/>
    <w:rsid w:val="00203180"/>
    <w:rsid w:val="00204F81"/>
    <w:rsid w:val="00205E4E"/>
    <w:rsid w:val="0021313F"/>
    <w:rsid w:val="00214895"/>
    <w:rsid w:val="00217564"/>
    <w:rsid w:val="00222233"/>
    <w:rsid w:val="002253EB"/>
    <w:rsid w:val="00225A5A"/>
    <w:rsid w:val="002266C2"/>
    <w:rsid w:val="00231970"/>
    <w:rsid w:val="002331FB"/>
    <w:rsid w:val="00237C64"/>
    <w:rsid w:val="00244E7D"/>
    <w:rsid w:val="00253CF6"/>
    <w:rsid w:val="00253EDA"/>
    <w:rsid w:val="00254406"/>
    <w:rsid w:val="0025515C"/>
    <w:rsid w:val="002575F1"/>
    <w:rsid w:val="002607EF"/>
    <w:rsid w:val="00263C62"/>
    <w:rsid w:val="00265D73"/>
    <w:rsid w:val="0026607D"/>
    <w:rsid w:val="00270B1F"/>
    <w:rsid w:val="00273972"/>
    <w:rsid w:val="00274C3B"/>
    <w:rsid w:val="0027557F"/>
    <w:rsid w:val="00276EEF"/>
    <w:rsid w:val="00280EF3"/>
    <w:rsid w:val="00281D0C"/>
    <w:rsid w:val="0028304A"/>
    <w:rsid w:val="00283692"/>
    <w:rsid w:val="00286BB7"/>
    <w:rsid w:val="00290C31"/>
    <w:rsid w:val="0029438A"/>
    <w:rsid w:val="002A5F57"/>
    <w:rsid w:val="002B29FA"/>
    <w:rsid w:val="002B3C51"/>
    <w:rsid w:val="002B73FE"/>
    <w:rsid w:val="002B7B34"/>
    <w:rsid w:val="002C19F5"/>
    <w:rsid w:val="002C2455"/>
    <w:rsid w:val="002C26E1"/>
    <w:rsid w:val="002C41FD"/>
    <w:rsid w:val="002C7E3C"/>
    <w:rsid w:val="002D0076"/>
    <w:rsid w:val="002D25AA"/>
    <w:rsid w:val="002D47EC"/>
    <w:rsid w:val="002D6DF3"/>
    <w:rsid w:val="002D71C1"/>
    <w:rsid w:val="002E1EF3"/>
    <w:rsid w:val="002E204E"/>
    <w:rsid w:val="002E4765"/>
    <w:rsid w:val="002F00E8"/>
    <w:rsid w:val="002F3ADF"/>
    <w:rsid w:val="002F41BF"/>
    <w:rsid w:val="002F4F0E"/>
    <w:rsid w:val="002F5BBB"/>
    <w:rsid w:val="002F7AC4"/>
    <w:rsid w:val="00306778"/>
    <w:rsid w:val="00307A8E"/>
    <w:rsid w:val="00312AAB"/>
    <w:rsid w:val="00320FD5"/>
    <w:rsid w:val="00323F41"/>
    <w:rsid w:val="00325A2B"/>
    <w:rsid w:val="00332692"/>
    <w:rsid w:val="00332DCB"/>
    <w:rsid w:val="00333123"/>
    <w:rsid w:val="003333CA"/>
    <w:rsid w:val="0033712A"/>
    <w:rsid w:val="0034497E"/>
    <w:rsid w:val="00346856"/>
    <w:rsid w:val="003510A2"/>
    <w:rsid w:val="00351170"/>
    <w:rsid w:val="00351701"/>
    <w:rsid w:val="00351A06"/>
    <w:rsid w:val="003524DF"/>
    <w:rsid w:val="00352FC8"/>
    <w:rsid w:val="0035649C"/>
    <w:rsid w:val="00356C33"/>
    <w:rsid w:val="0035700C"/>
    <w:rsid w:val="00357715"/>
    <w:rsid w:val="003600EF"/>
    <w:rsid w:val="003601BD"/>
    <w:rsid w:val="003624A6"/>
    <w:rsid w:val="00364E7B"/>
    <w:rsid w:val="003711CC"/>
    <w:rsid w:val="00374411"/>
    <w:rsid w:val="00375F62"/>
    <w:rsid w:val="00375FB3"/>
    <w:rsid w:val="00376C85"/>
    <w:rsid w:val="003809A4"/>
    <w:rsid w:val="00381A01"/>
    <w:rsid w:val="00390532"/>
    <w:rsid w:val="00390805"/>
    <w:rsid w:val="0039254C"/>
    <w:rsid w:val="00392A83"/>
    <w:rsid w:val="003931D9"/>
    <w:rsid w:val="003A1993"/>
    <w:rsid w:val="003A311D"/>
    <w:rsid w:val="003A5DD2"/>
    <w:rsid w:val="003B1F76"/>
    <w:rsid w:val="003B1FCA"/>
    <w:rsid w:val="003B4C33"/>
    <w:rsid w:val="003B622E"/>
    <w:rsid w:val="003C1FCB"/>
    <w:rsid w:val="003C265E"/>
    <w:rsid w:val="003C38F4"/>
    <w:rsid w:val="003C3F1D"/>
    <w:rsid w:val="003C668A"/>
    <w:rsid w:val="003D0644"/>
    <w:rsid w:val="003D09FB"/>
    <w:rsid w:val="003D483E"/>
    <w:rsid w:val="003D5B97"/>
    <w:rsid w:val="003D6479"/>
    <w:rsid w:val="003E0D63"/>
    <w:rsid w:val="003E1BBC"/>
    <w:rsid w:val="003E3801"/>
    <w:rsid w:val="003E4F85"/>
    <w:rsid w:val="003E7643"/>
    <w:rsid w:val="003F503D"/>
    <w:rsid w:val="003F6C6B"/>
    <w:rsid w:val="003F790E"/>
    <w:rsid w:val="004015BB"/>
    <w:rsid w:val="00401CA0"/>
    <w:rsid w:val="00401D98"/>
    <w:rsid w:val="004036E5"/>
    <w:rsid w:val="0040569B"/>
    <w:rsid w:val="0041481A"/>
    <w:rsid w:val="0041528F"/>
    <w:rsid w:val="00415792"/>
    <w:rsid w:val="00416314"/>
    <w:rsid w:val="00416AFE"/>
    <w:rsid w:val="004212CF"/>
    <w:rsid w:val="00422C1C"/>
    <w:rsid w:val="00423181"/>
    <w:rsid w:val="00427412"/>
    <w:rsid w:val="00430843"/>
    <w:rsid w:val="00437174"/>
    <w:rsid w:val="004407D1"/>
    <w:rsid w:val="0044438A"/>
    <w:rsid w:val="00445F5C"/>
    <w:rsid w:val="00446A6D"/>
    <w:rsid w:val="00451D9A"/>
    <w:rsid w:val="00452BC9"/>
    <w:rsid w:val="00453DCF"/>
    <w:rsid w:val="00454200"/>
    <w:rsid w:val="00455B36"/>
    <w:rsid w:val="00455FD9"/>
    <w:rsid w:val="00457882"/>
    <w:rsid w:val="00457F6A"/>
    <w:rsid w:val="004629F6"/>
    <w:rsid w:val="00463898"/>
    <w:rsid w:val="00465D15"/>
    <w:rsid w:val="0046617D"/>
    <w:rsid w:val="00471DC2"/>
    <w:rsid w:val="0047462F"/>
    <w:rsid w:val="00477E77"/>
    <w:rsid w:val="004801DC"/>
    <w:rsid w:val="00482B53"/>
    <w:rsid w:val="00484BE4"/>
    <w:rsid w:val="004860A1"/>
    <w:rsid w:val="00486818"/>
    <w:rsid w:val="00486E45"/>
    <w:rsid w:val="00486F69"/>
    <w:rsid w:val="0048786F"/>
    <w:rsid w:val="004913A2"/>
    <w:rsid w:val="00493B21"/>
    <w:rsid w:val="00494185"/>
    <w:rsid w:val="00495BCA"/>
    <w:rsid w:val="004A0894"/>
    <w:rsid w:val="004A1C96"/>
    <w:rsid w:val="004A712F"/>
    <w:rsid w:val="004B2D20"/>
    <w:rsid w:val="004B3D28"/>
    <w:rsid w:val="004B429F"/>
    <w:rsid w:val="004B482D"/>
    <w:rsid w:val="004B4C15"/>
    <w:rsid w:val="004B7D8B"/>
    <w:rsid w:val="004C14FD"/>
    <w:rsid w:val="004C325A"/>
    <w:rsid w:val="004C5837"/>
    <w:rsid w:val="004C649A"/>
    <w:rsid w:val="004D1A13"/>
    <w:rsid w:val="004D1CFA"/>
    <w:rsid w:val="004D1F62"/>
    <w:rsid w:val="004D22D7"/>
    <w:rsid w:val="004D256D"/>
    <w:rsid w:val="004D6667"/>
    <w:rsid w:val="004E13EF"/>
    <w:rsid w:val="004E1A82"/>
    <w:rsid w:val="004E37D4"/>
    <w:rsid w:val="004E3EFB"/>
    <w:rsid w:val="004E6260"/>
    <w:rsid w:val="004F4368"/>
    <w:rsid w:val="00501524"/>
    <w:rsid w:val="00504076"/>
    <w:rsid w:val="005053A0"/>
    <w:rsid w:val="00505AC6"/>
    <w:rsid w:val="00510675"/>
    <w:rsid w:val="005119B7"/>
    <w:rsid w:val="00511A9E"/>
    <w:rsid w:val="005152F2"/>
    <w:rsid w:val="00515602"/>
    <w:rsid w:val="00515701"/>
    <w:rsid w:val="005202BB"/>
    <w:rsid w:val="005218FA"/>
    <w:rsid w:val="005247A8"/>
    <w:rsid w:val="00524C13"/>
    <w:rsid w:val="00525B6A"/>
    <w:rsid w:val="00525C58"/>
    <w:rsid w:val="00530570"/>
    <w:rsid w:val="005314B7"/>
    <w:rsid w:val="00535CAC"/>
    <w:rsid w:val="005378A2"/>
    <w:rsid w:val="00540FA2"/>
    <w:rsid w:val="0054290C"/>
    <w:rsid w:val="00547622"/>
    <w:rsid w:val="00551443"/>
    <w:rsid w:val="005533DB"/>
    <w:rsid w:val="0055472E"/>
    <w:rsid w:val="005572C0"/>
    <w:rsid w:val="005604F4"/>
    <w:rsid w:val="00562128"/>
    <w:rsid w:val="00562F7C"/>
    <w:rsid w:val="00564FCD"/>
    <w:rsid w:val="0056520D"/>
    <w:rsid w:val="00565761"/>
    <w:rsid w:val="00567B6B"/>
    <w:rsid w:val="0057091D"/>
    <w:rsid w:val="00570B2D"/>
    <w:rsid w:val="005729C5"/>
    <w:rsid w:val="00573713"/>
    <w:rsid w:val="005821D1"/>
    <w:rsid w:val="0058318A"/>
    <w:rsid w:val="005848F0"/>
    <w:rsid w:val="00584E03"/>
    <w:rsid w:val="00584E61"/>
    <w:rsid w:val="0058569B"/>
    <w:rsid w:val="005911CE"/>
    <w:rsid w:val="00592229"/>
    <w:rsid w:val="00592F25"/>
    <w:rsid w:val="00595710"/>
    <w:rsid w:val="00595EC4"/>
    <w:rsid w:val="005975E5"/>
    <w:rsid w:val="005A5F3A"/>
    <w:rsid w:val="005A7828"/>
    <w:rsid w:val="005B0030"/>
    <w:rsid w:val="005B1C5A"/>
    <w:rsid w:val="005B2F03"/>
    <w:rsid w:val="005B4003"/>
    <w:rsid w:val="005C08C7"/>
    <w:rsid w:val="005C168F"/>
    <w:rsid w:val="005C76E4"/>
    <w:rsid w:val="005D013F"/>
    <w:rsid w:val="005D0E4F"/>
    <w:rsid w:val="005D2FD2"/>
    <w:rsid w:val="005D50BB"/>
    <w:rsid w:val="005D62DF"/>
    <w:rsid w:val="005D7497"/>
    <w:rsid w:val="005E0CA8"/>
    <w:rsid w:val="005E24BB"/>
    <w:rsid w:val="005E4C98"/>
    <w:rsid w:val="005F145C"/>
    <w:rsid w:val="005F2D1C"/>
    <w:rsid w:val="005F351D"/>
    <w:rsid w:val="005F6930"/>
    <w:rsid w:val="005F7FB6"/>
    <w:rsid w:val="00601089"/>
    <w:rsid w:val="006015AE"/>
    <w:rsid w:val="00601919"/>
    <w:rsid w:val="00604D8D"/>
    <w:rsid w:val="0060538F"/>
    <w:rsid w:val="00606ABB"/>
    <w:rsid w:val="0061083C"/>
    <w:rsid w:val="0061136F"/>
    <w:rsid w:val="00611C0A"/>
    <w:rsid w:val="00612AD8"/>
    <w:rsid w:val="00614F52"/>
    <w:rsid w:val="00621DBB"/>
    <w:rsid w:val="00624462"/>
    <w:rsid w:val="00626316"/>
    <w:rsid w:val="0062704D"/>
    <w:rsid w:val="00633658"/>
    <w:rsid w:val="00633B3F"/>
    <w:rsid w:val="00634051"/>
    <w:rsid w:val="006343EA"/>
    <w:rsid w:val="006366D3"/>
    <w:rsid w:val="00640293"/>
    <w:rsid w:val="006427AF"/>
    <w:rsid w:val="00644299"/>
    <w:rsid w:val="00646D32"/>
    <w:rsid w:val="006514FD"/>
    <w:rsid w:val="00656311"/>
    <w:rsid w:val="006579C9"/>
    <w:rsid w:val="00661B03"/>
    <w:rsid w:val="0066505E"/>
    <w:rsid w:val="00665620"/>
    <w:rsid w:val="006656C8"/>
    <w:rsid w:val="00667849"/>
    <w:rsid w:val="0067088A"/>
    <w:rsid w:val="0067304A"/>
    <w:rsid w:val="00674BD1"/>
    <w:rsid w:val="00676174"/>
    <w:rsid w:val="00676600"/>
    <w:rsid w:val="00676E35"/>
    <w:rsid w:val="0067785F"/>
    <w:rsid w:val="00682840"/>
    <w:rsid w:val="00683A19"/>
    <w:rsid w:val="006867B6"/>
    <w:rsid w:val="00686942"/>
    <w:rsid w:val="00691757"/>
    <w:rsid w:val="00691CFC"/>
    <w:rsid w:val="00694670"/>
    <w:rsid w:val="00697C9D"/>
    <w:rsid w:val="0069CD17"/>
    <w:rsid w:val="006A08E2"/>
    <w:rsid w:val="006A14E1"/>
    <w:rsid w:val="006A247C"/>
    <w:rsid w:val="006B1B03"/>
    <w:rsid w:val="006B29D4"/>
    <w:rsid w:val="006B383F"/>
    <w:rsid w:val="006B430A"/>
    <w:rsid w:val="006B7336"/>
    <w:rsid w:val="006B7906"/>
    <w:rsid w:val="006C063C"/>
    <w:rsid w:val="006C1799"/>
    <w:rsid w:val="006C5900"/>
    <w:rsid w:val="006C78FC"/>
    <w:rsid w:val="006D121F"/>
    <w:rsid w:val="006D29A2"/>
    <w:rsid w:val="006E2B83"/>
    <w:rsid w:val="006E32D8"/>
    <w:rsid w:val="006E3F55"/>
    <w:rsid w:val="006F1B49"/>
    <w:rsid w:val="006F20DE"/>
    <w:rsid w:val="006F6913"/>
    <w:rsid w:val="006F7A9B"/>
    <w:rsid w:val="007021C6"/>
    <w:rsid w:val="00702A85"/>
    <w:rsid w:val="00704554"/>
    <w:rsid w:val="00706460"/>
    <w:rsid w:val="007103AD"/>
    <w:rsid w:val="00710F86"/>
    <w:rsid w:val="00711E7E"/>
    <w:rsid w:val="00713580"/>
    <w:rsid w:val="00713F59"/>
    <w:rsid w:val="0071505C"/>
    <w:rsid w:val="00715695"/>
    <w:rsid w:val="00721A17"/>
    <w:rsid w:val="00721F0D"/>
    <w:rsid w:val="00723AB8"/>
    <w:rsid w:val="00724E03"/>
    <w:rsid w:val="00725440"/>
    <w:rsid w:val="00736E19"/>
    <w:rsid w:val="0073752C"/>
    <w:rsid w:val="007402FC"/>
    <w:rsid w:val="00742545"/>
    <w:rsid w:val="00743156"/>
    <w:rsid w:val="007434B7"/>
    <w:rsid w:val="00744CA0"/>
    <w:rsid w:val="00746E38"/>
    <w:rsid w:val="00747B2C"/>
    <w:rsid w:val="00752B3A"/>
    <w:rsid w:val="00752EE0"/>
    <w:rsid w:val="007533E6"/>
    <w:rsid w:val="00753726"/>
    <w:rsid w:val="00753C5A"/>
    <w:rsid w:val="007574AA"/>
    <w:rsid w:val="00760A90"/>
    <w:rsid w:val="00760DD9"/>
    <w:rsid w:val="00761DF5"/>
    <w:rsid w:val="00763E6B"/>
    <w:rsid w:val="007641BA"/>
    <w:rsid w:val="00765C77"/>
    <w:rsid w:val="007675AF"/>
    <w:rsid w:val="00771D6D"/>
    <w:rsid w:val="007749DD"/>
    <w:rsid w:val="00777000"/>
    <w:rsid w:val="00782890"/>
    <w:rsid w:val="00783150"/>
    <w:rsid w:val="0078357D"/>
    <w:rsid w:val="00787EF5"/>
    <w:rsid w:val="00790F89"/>
    <w:rsid w:val="007910D5"/>
    <w:rsid w:val="00794DCE"/>
    <w:rsid w:val="0079738C"/>
    <w:rsid w:val="007A2043"/>
    <w:rsid w:val="007A2ECF"/>
    <w:rsid w:val="007A6D86"/>
    <w:rsid w:val="007B4C07"/>
    <w:rsid w:val="007B74BD"/>
    <w:rsid w:val="007B7585"/>
    <w:rsid w:val="007B78F9"/>
    <w:rsid w:val="007C0575"/>
    <w:rsid w:val="007C36B9"/>
    <w:rsid w:val="007C65C6"/>
    <w:rsid w:val="007D1382"/>
    <w:rsid w:val="007D1445"/>
    <w:rsid w:val="007D6292"/>
    <w:rsid w:val="007D6440"/>
    <w:rsid w:val="007D6686"/>
    <w:rsid w:val="007D7513"/>
    <w:rsid w:val="007E0F2D"/>
    <w:rsid w:val="007E1F9F"/>
    <w:rsid w:val="007E4720"/>
    <w:rsid w:val="007E7B98"/>
    <w:rsid w:val="007F0D8C"/>
    <w:rsid w:val="007F1AF7"/>
    <w:rsid w:val="007F47D7"/>
    <w:rsid w:val="007F49E9"/>
    <w:rsid w:val="007F799E"/>
    <w:rsid w:val="00801E8D"/>
    <w:rsid w:val="00810390"/>
    <w:rsid w:val="008124DD"/>
    <w:rsid w:val="00813787"/>
    <w:rsid w:val="00815C7D"/>
    <w:rsid w:val="00816EBF"/>
    <w:rsid w:val="00817113"/>
    <w:rsid w:val="00821658"/>
    <w:rsid w:val="008221B7"/>
    <w:rsid w:val="0082369C"/>
    <w:rsid w:val="00824A58"/>
    <w:rsid w:val="00825693"/>
    <w:rsid w:val="008276CD"/>
    <w:rsid w:val="00830E49"/>
    <w:rsid w:val="00830F01"/>
    <w:rsid w:val="00833123"/>
    <w:rsid w:val="00833E23"/>
    <w:rsid w:val="00836064"/>
    <w:rsid w:val="0084172D"/>
    <w:rsid w:val="00841D7E"/>
    <w:rsid w:val="00842DD5"/>
    <w:rsid w:val="008466FF"/>
    <w:rsid w:val="00846A69"/>
    <w:rsid w:val="00850C5F"/>
    <w:rsid w:val="00850E36"/>
    <w:rsid w:val="00851673"/>
    <w:rsid w:val="00852326"/>
    <w:rsid w:val="008539D7"/>
    <w:rsid w:val="00855205"/>
    <w:rsid w:val="00856BE4"/>
    <w:rsid w:val="00860F7A"/>
    <w:rsid w:val="00865101"/>
    <w:rsid w:val="008677BA"/>
    <w:rsid w:val="00871EC7"/>
    <w:rsid w:val="00873465"/>
    <w:rsid w:val="00873E7C"/>
    <w:rsid w:val="00874527"/>
    <w:rsid w:val="00875C5E"/>
    <w:rsid w:val="00875EB3"/>
    <w:rsid w:val="00876157"/>
    <w:rsid w:val="0088276D"/>
    <w:rsid w:val="008830FD"/>
    <w:rsid w:val="00884E3B"/>
    <w:rsid w:val="008854C0"/>
    <w:rsid w:val="00894B6C"/>
    <w:rsid w:val="00895880"/>
    <w:rsid w:val="008A29BC"/>
    <w:rsid w:val="008A4AAF"/>
    <w:rsid w:val="008B0AAF"/>
    <w:rsid w:val="008B2B88"/>
    <w:rsid w:val="008B518F"/>
    <w:rsid w:val="008B5708"/>
    <w:rsid w:val="008B6B7B"/>
    <w:rsid w:val="008B7655"/>
    <w:rsid w:val="008B7ECE"/>
    <w:rsid w:val="008C10DC"/>
    <w:rsid w:val="008C23DC"/>
    <w:rsid w:val="008C26D3"/>
    <w:rsid w:val="008C2AF3"/>
    <w:rsid w:val="008C4CEB"/>
    <w:rsid w:val="008C71C1"/>
    <w:rsid w:val="008D29C2"/>
    <w:rsid w:val="008D2AB1"/>
    <w:rsid w:val="008D300A"/>
    <w:rsid w:val="008D39D5"/>
    <w:rsid w:val="008D403C"/>
    <w:rsid w:val="008D648C"/>
    <w:rsid w:val="008D6976"/>
    <w:rsid w:val="008D6E9C"/>
    <w:rsid w:val="008D7556"/>
    <w:rsid w:val="008E2EAC"/>
    <w:rsid w:val="008E4830"/>
    <w:rsid w:val="008E53A2"/>
    <w:rsid w:val="008E6219"/>
    <w:rsid w:val="008E6F58"/>
    <w:rsid w:val="008F532D"/>
    <w:rsid w:val="008F7F54"/>
    <w:rsid w:val="0090179B"/>
    <w:rsid w:val="00907B4A"/>
    <w:rsid w:val="0091473E"/>
    <w:rsid w:val="00916BC6"/>
    <w:rsid w:val="00923615"/>
    <w:rsid w:val="0092367F"/>
    <w:rsid w:val="00923C17"/>
    <w:rsid w:val="009244E4"/>
    <w:rsid w:val="00924647"/>
    <w:rsid w:val="00924AFF"/>
    <w:rsid w:val="0092660F"/>
    <w:rsid w:val="00927F68"/>
    <w:rsid w:val="00930756"/>
    <w:rsid w:val="00930D42"/>
    <w:rsid w:val="00931226"/>
    <w:rsid w:val="009315AA"/>
    <w:rsid w:val="0093166D"/>
    <w:rsid w:val="009323F2"/>
    <w:rsid w:val="009328CA"/>
    <w:rsid w:val="0093391D"/>
    <w:rsid w:val="00942AF0"/>
    <w:rsid w:val="00943432"/>
    <w:rsid w:val="00944104"/>
    <w:rsid w:val="00946562"/>
    <w:rsid w:val="009510D4"/>
    <w:rsid w:val="009513DA"/>
    <w:rsid w:val="009516BA"/>
    <w:rsid w:val="009529EA"/>
    <w:rsid w:val="00952C83"/>
    <w:rsid w:val="009531A9"/>
    <w:rsid w:val="00954124"/>
    <w:rsid w:val="00954C02"/>
    <w:rsid w:val="00954CB0"/>
    <w:rsid w:val="009552D7"/>
    <w:rsid w:val="00956044"/>
    <w:rsid w:val="00956489"/>
    <w:rsid w:val="00956651"/>
    <w:rsid w:val="009571CC"/>
    <w:rsid w:val="009633F0"/>
    <w:rsid w:val="009748EF"/>
    <w:rsid w:val="00977915"/>
    <w:rsid w:val="00981056"/>
    <w:rsid w:val="00983BB6"/>
    <w:rsid w:val="009918D6"/>
    <w:rsid w:val="00992F21"/>
    <w:rsid w:val="00996CF6"/>
    <w:rsid w:val="009978CD"/>
    <w:rsid w:val="009A02FF"/>
    <w:rsid w:val="009A4500"/>
    <w:rsid w:val="009A4888"/>
    <w:rsid w:val="009A60F7"/>
    <w:rsid w:val="009B15F2"/>
    <w:rsid w:val="009B5DF1"/>
    <w:rsid w:val="009C0796"/>
    <w:rsid w:val="009C0D9B"/>
    <w:rsid w:val="009C3B5A"/>
    <w:rsid w:val="009C6233"/>
    <w:rsid w:val="009D0509"/>
    <w:rsid w:val="009D1666"/>
    <w:rsid w:val="009D16B2"/>
    <w:rsid w:val="009D34DD"/>
    <w:rsid w:val="009D34E5"/>
    <w:rsid w:val="009D6029"/>
    <w:rsid w:val="009E1F04"/>
    <w:rsid w:val="009E2CA8"/>
    <w:rsid w:val="009E4990"/>
    <w:rsid w:val="009E529C"/>
    <w:rsid w:val="009E6099"/>
    <w:rsid w:val="009F03B4"/>
    <w:rsid w:val="009F3186"/>
    <w:rsid w:val="009F344C"/>
    <w:rsid w:val="009F4CD0"/>
    <w:rsid w:val="00A021C4"/>
    <w:rsid w:val="00A123AF"/>
    <w:rsid w:val="00A12585"/>
    <w:rsid w:val="00A15726"/>
    <w:rsid w:val="00A18EBA"/>
    <w:rsid w:val="00A22DDB"/>
    <w:rsid w:val="00A276C6"/>
    <w:rsid w:val="00A31944"/>
    <w:rsid w:val="00A3270B"/>
    <w:rsid w:val="00A32A7F"/>
    <w:rsid w:val="00A33EB9"/>
    <w:rsid w:val="00A360F7"/>
    <w:rsid w:val="00A41878"/>
    <w:rsid w:val="00A44178"/>
    <w:rsid w:val="00A44799"/>
    <w:rsid w:val="00A56A3E"/>
    <w:rsid w:val="00A57451"/>
    <w:rsid w:val="00A61059"/>
    <w:rsid w:val="00A61385"/>
    <w:rsid w:val="00A70EE4"/>
    <w:rsid w:val="00A7497B"/>
    <w:rsid w:val="00A75632"/>
    <w:rsid w:val="00A75A14"/>
    <w:rsid w:val="00A82C5F"/>
    <w:rsid w:val="00A83153"/>
    <w:rsid w:val="00A8415E"/>
    <w:rsid w:val="00A92EC8"/>
    <w:rsid w:val="00A93618"/>
    <w:rsid w:val="00A9368A"/>
    <w:rsid w:val="00A95811"/>
    <w:rsid w:val="00A97CFD"/>
    <w:rsid w:val="00AA5A86"/>
    <w:rsid w:val="00AB05BE"/>
    <w:rsid w:val="00AB1A50"/>
    <w:rsid w:val="00AB1B14"/>
    <w:rsid w:val="00AB39FC"/>
    <w:rsid w:val="00AB53FA"/>
    <w:rsid w:val="00AB6529"/>
    <w:rsid w:val="00AC08A1"/>
    <w:rsid w:val="00AC64BA"/>
    <w:rsid w:val="00AC65F5"/>
    <w:rsid w:val="00AC7293"/>
    <w:rsid w:val="00AD06D5"/>
    <w:rsid w:val="00AD0AC1"/>
    <w:rsid w:val="00AD0DCD"/>
    <w:rsid w:val="00AD2439"/>
    <w:rsid w:val="00AD3AC3"/>
    <w:rsid w:val="00AD5454"/>
    <w:rsid w:val="00AD5AC0"/>
    <w:rsid w:val="00AE0805"/>
    <w:rsid w:val="00AE6393"/>
    <w:rsid w:val="00AE6F5C"/>
    <w:rsid w:val="00AE700D"/>
    <w:rsid w:val="00AF0D90"/>
    <w:rsid w:val="00AF45FA"/>
    <w:rsid w:val="00AF4A81"/>
    <w:rsid w:val="00AF5B91"/>
    <w:rsid w:val="00AF601C"/>
    <w:rsid w:val="00AF6F78"/>
    <w:rsid w:val="00AF7FD4"/>
    <w:rsid w:val="00B030B5"/>
    <w:rsid w:val="00B0596F"/>
    <w:rsid w:val="00B06C54"/>
    <w:rsid w:val="00B071E2"/>
    <w:rsid w:val="00B11DC0"/>
    <w:rsid w:val="00B124DD"/>
    <w:rsid w:val="00B130DB"/>
    <w:rsid w:val="00B14FDB"/>
    <w:rsid w:val="00B177BC"/>
    <w:rsid w:val="00B21A85"/>
    <w:rsid w:val="00B41822"/>
    <w:rsid w:val="00B41A3C"/>
    <w:rsid w:val="00B41A88"/>
    <w:rsid w:val="00B47EB6"/>
    <w:rsid w:val="00B5117E"/>
    <w:rsid w:val="00B51B7D"/>
    <w:rsid w:val="00B51E1C"/>
    <w:rsid w:val="00B52706"/>
    <w:rsid w:val="00B5669C"/>
    <w:rsid w:val="00B56AA3"/>
    <w:rsid w:val="00B600E9"/>
    <w:rsid w:val="00B60F77"/>
    <w:rsid w:val="00B60FD5"/>
    <w:rsid w:val="00B66D6F"/>
    <w:rsid w:val="00B67CA8"/>
    <w:rsid w:val="00B701CA"/>
    <w:rsid w:val="00B70401"/>
    <w:rsid w:val="00B70A74"/>
    <w:rsid w:val="00B719A0"/>
    <w:rsid w:val="00B7310C"/>
    <w:rsid w:val="00B73CC3"/>
    <w:rsid w:val="00B74E81"/>
    <w:rsid w:val="00B751AD"/>
    <w:rsid w:val="00B757C7"/>
    <w:rsid w:val="00B75954"/>
    <w:rsid w:val="00B77021"/>
    <w:rsid w:val="00B77F11"/>
    <w:rsid w:val="00B801D4"/>
    <w:rsid w:val="00B811D1"/>
    <w:rsid w:val="00B83365"/>
    <w:rsid w:val="00B84AAE"/>
    <w:rsid w:val="00B86A18"/>
    <w:rsid w:val="00B873F4"/>
    <w:rsid w:val="00B87539"/>
    <w:rsid w:val="00B91A97"/>
    <w:rsid w:val="00B93470"/>
    <w:rsid w:val="00B936A8"/>
    <w:rsid w:val="00B937A2"/>
    <w:rsid w:val="00B9673F"/>
    <w:rsid w:val="00BA343F"/>
    <w:rsid w:val="00BB344B"/>
    <w:rsid w:val="00BB4E44"/>
    <w:rsid w:val="00BC30AD"/>
    <w:rsid w:val="00BC3B9D"/>
    <w:rsid w:val="00BC4C09"/>
    <w:rsid w:val="00BC53BA"/>
    <w:rsid w:val="00BD177B"/>
    <w:rsid w:val="00BD20A4"/>
    <w:rsid w:val="00BD4261"/>
    <w:rsid w:val="00BD4774"/>
    <w:rsid w:val="00BD47CE"/>
    <w:rsid w:val="00BD4DEE"/>
    <w:rsid w:val="00BD59EC"/>
    <w:rsid w:val="00BD7038"/>
    <w:rsid w:val="00BE0069"/>
    <w:rsid w:val="00BE057D"/>
    <w:rsid w:val="00BE1C8B"/>
    <w:rsid w:val="00BE25AE"/>
    <w:rsid w:val="00BE49C7"/>
    <w:rsid w:val="00BF2654"/>
    <w:rsid w:val="00BF3D65"/>
    <w:rsid w:val="00BF49A7"/>
    <w:rsid w:val="00BF6C3F"/>
    <w:rsid w:val="00BF795F"/>
    <w:rsid w:val="00C002E8"/>
    <w:rsid w:val="00C019CB"/>
    <w:rsid w:val="00C07955"/>
    <w:rsid w:val="00C11056"/>
    <w:rsid w:val="00C13879"/>
    <w:rsid w:val="00C22389"/>
    <w:rsid w:val="00C23510"/>
    <w:rsid w:val="00C24C2C"/>
    <w:rsid w:val="00C3389E"/>
    <w:rsid w:val="00C34911"/>
    <w:rsid w:val="00C36EF1"/>
    <w:rsid w:val="00C408FF"/>
    <w:rsid w:val="00C4466F"/>
    <w:rsid w:val="00C44B8E"/>
    <w:rsid w:val="00C46701"/>
    <w:rsid w:val="00C5071E"/>
    <w:rsid w:val="00C560CB"/>
    <w:rsid w:val="00C5681D"/>
    <w:rsid w:val="00C6115F"/>
    <w:rsid w:val="00C627C1"/>
    <w:rsid w:val="00C62A79"/>
    <w:rsid w:val="00C62C03"/>
    <w:rsid w:val="00C63089"/>
    <w:rsid w:val="00C63C85"/>
    <w:rsid w:val="00C67FCD"/>
    <w:rsid w:val="00C70A7D"/>
    <w:rsid w:val="00C721A4"/>
    <w:rsid w:val="00C72E18"/>
    <w:rsid w:val="00C749B6"/>
    <w:rsid w:val="00C758B3"/>
    <w:rsid w:val="00C8081F"/>
    <w:rsid w:val="00C80E3B"/>
    <w:rsid w:val="00C844A5"/>
    <w:rsid w:val="00C8757E"/>
    <w:rsid w:val="00C90598"/>
    <w:rsid w:val="00C91FEC"/>
    <w:rsid w:val="00C921F4"/>
    <w:rsid w:val="00C939F0"/>
    <w:rsid w:val="00C93D51"/>
    <w:rsid w:val="00C94837"/>
    <w:rsid w:val="00C948D9"/>
    <w:rsid w:val="00C95E9B"/>
    <w:rsid w:val="00C97788"/>
    <w:rsid w:val="00CA047B"/>
    <w:rsid w:val="00CA130D"/>
    <w:rsid w:val="00CA19CB"/>
    <w:rsid w:val="00CA2438"/>
    <w:rsid w:val="00CA2652"/>
    <w:rsid w:val="00CA4923"/>
    <w:rsid w:val="00CA6715"/>
    <w:rsid w:val="00CA7183"/>
    <w:rsid w:val="00CA7E95"/>
    <w:rsid w:val="00CB1C42"/>
    <w:rsid w:val="00CB35C9"/>
    <w:rsid w:val="00CB5755"/>
    <w:rsid w:val="00CB7D5F"/>
    <w:rsid w:val="00CC23CE"/>
    <w:rsid w:val="00CC260F"/>
    <w:rsid w:val="00CD08DE"/>
    <w:rsid w:val="00CD17EC"/>
    <w:rsid w:val="00CD6172"/>
    <w:rsid w:val="00CD7D58"/>
    <w:rsid w:val="00CE3E46"/>
    <w:rsid w:val="00CE50A6"/>
    <w:rsid w:val="00CE5BE0"/>
    <w:rsid w:val="00CE7F94"/>
    <w:rsid w:val="00CF2C05"/>
    <w:rsid w:val="00CF3258"/>
    <w:rsid w:val="00CF331F"/>
    <w:rsid w:val="00CF388A"/>
    <w:rsid w:val="00D01C5D"/>
    <w:rsid w:val="00D03E90"/>
    <w:rsid w:val="00D0436C"/>
    <w:rsid w:val="00D10E63"/>
    <w:rsid w:val="00D200BB"/>
    <w:rsid w:val="00D22EA4"/>
    <w:rsid w:val="00D24B12"/>
    <w:rsid w:val="00D26EB6"/>
    <w:rsid w:val="00D27F9B"/>
    <w:rsid w:val="00D330C9"/>
    <w:rsid w:val="00D348C3"/>
    <w:rsid w:val="00D37C40"/>
    <w:rsid w:val="00D410C5"/>
    <w:rsid w:val="00D44982"/>
    <w:rsid w:val="00D470E9"/>
    <w:rsid w:val="00D512E9"/>
    <w:rsid w:val="00D54F50"/>
    <w:rsid w:val="00D562E9"/>
    <w:rsid w:val="00D567A1"/>
    <w:rsid w:val="00D5797D"/>
    <w:rsid w:val="00D60EB6"/>
    <w:rsid w:val="00D61D9F"/>
    <w:rsid w:val="00D65087"/>
    <w:rsid w:val="00D72A03"/>
    <w:rsid w:val="00D74A8A"/>
    <w:rsid w:val="00D74D04"/>
    <w:rsid w:val="00D7666B"/>
    <w:rsid w:val="00D819E9"/>
    <w:rsid w:val="00D81CE7"/>
    <w:rsid w:val="00D821EC"/>
    <w:rsid w:val="00D83271"/>
    <w:rsid w:val="00D8593A"/>
    <w:rsid w:val="00D90854"/>
    <w:rsid w:val="00D93144"/>
    <w:rsid w:val="00DA180E"/>
    <w:rsid w:val="00DA1E27"/>
    <w:rsid w:val="00DA1E48"/>
    <w:rsid w:val="00DA513E"/>
    <w:rsid w:val="00DA5447"/>
    <w:rsid w:val="00DA5C20"/>
    <w:rsid w:val="00DA7474"/>
    <w:rsid w:val="00DA77B2"/>
    <w:rsid w:val="00DB0001"/>
    <w:rsid w:val="00DB0C2A"/>
    <w:rsid w:val="00DB2CBE"/>
    <w:rsid w:val="00DB58CC"/>
    <w:rsid w:val="00DB6B01"/>
    <w:rsid w:val="00DB7127"/>
    <w:rsid w:val="00DC1C15"/>
    <w:rsid w:val="00DC1E38"/>
    <w:rsid w:val="00DC26B6"/>
    <w:rsid w:val="00DC5AF9"/>
    <w:rsid w:val="00DD25ED"/>
    <w:rsid w:val="00DD4357"/>
    <w:rsid w:val="00DD6293"/>
    <w:rsid w:val="00DD6EB4"/>
    <w:rsid w:val="00DD7B80"/>
    <w:rsid w:val="00DD7F70"/>
    <w:rsid w:val="00DE09B5"/>
    <w:rsid w:val="00DE57B3"/>
    <w:rsid w:val="00DE5A33"/>
    <w:rsid w:val="00DE70EC"/>
    <w:rsid w:val="00DE7928"/>
    <w:rsid w:val="00DF2131"/>
    <w:rsid w:val="00DF2C2F"/>
    <w:rsid w:val="00DF3640"/>
    <w:rsid w:val="00DF4B4B"/>
    <w:rsid w:val="00DF664C"/>
    <w:rsid w:val="00DF69C7"/>
    <w:rsid w:val="00DF7485"/>
    <w:rsid w:val="00E00427"/>
    <w:rsid w:val="00E0253A"/>
    <w:rsid w:val="00E02A60"/>
    <w:rsid w:val="00E0346D"/>
    <w:rsid w:val="00E03F9C"/>
    <w:rsid w:val="00E04B7A"/>
    <w:rsid w:val="00E07673"/>
    <w:rsid w:val="00E07EC2"/>
    <w:rsid w:val="00E12230"/>
    <w:rsid w:val="00E1237A"/>
    <w:rsid w:val="00E1271D"/>
    <w:rsid w:val="00E13902"/>
    <w:rsid w:val="00E1564C"/>
    <w:rsid w:val="00E1580F"/>
    <w:rsid w:val="00E15E46"/>
    <w:rsid w:val="00E21571"/>
    <w:rsid w:val="00E22219"/>
    <w:rsid w:val="00E22516"/>
    <w:rsid w:val="00E23F60"/>
    <w:rsid w:val="00E25E48"/>
    <w:rsid w:val="00E305D3"/>
    <w:rsid w:val="00E31CEB"/>
    <w:rsid w:val="00E32AD5"/>
    <w:rsid w:val="00E34310"/>
    <w:rsid w:val="00E3536C"/>
    <w:rsid w:val="00E36937"/>
    <w:rsid w:val="00E47A36"/>
    <w:rsid w:val="00E5063F"/>
    <w:rsid w:val="00E545C4"/>
    <w:rsid w:val="00E55BFC"/>
    <w:rsid w:val="00E71B11"/>
    <w:rsid w:val="00E733CC"/>
    <w:rsid w:val="00E73C2E"/>
    <w:rsid w:val="00E74E0D"/>
    <w:rsid w:val="00E86E86"/>
    <w:rsid w:val="00E8746D"/>
    <w:rsid w:val="00E90A3D"/>
    <w:rsid w:val="00E92DAE"/>
    <w:rsid w:val="00E93418"/>
    <w:rsid w:val="00E9499C"/>
    <w:rsid w:val="00E962FE"/>
    <w:rsid w:val="00E97650"/>
    <w:rsid w:val="00E97A91"/>
    <w:rsid w:val="00EA0E11"/>
    <w:rsid w:val="00EA0E18"/>
    <w:rsid w:val="00EA24B4"/>
    <w:rsid w:val="00EA254C"/>
    <w:rsid w:val="00EA3524"/>
    <w:rsid w:val="00EA3A5F"/>
    <w:rsid w:val="00EA47C6"/>
    <w:rsid w:val="00EA56E6"/>
    <w:rsid w:val="00EA699E"/>
    <w:rsid w:val="00EA767B"/>
    <w:rsid w:val="00EA79CA"/>
    <w:rsid w:val="00EB0EDE"/>
    <w:rsid w:val="00EB31AF"/>
    <w:rsid w:val="00EB520C"/>
    <w:rsid w:val="00EB6311"/>
    <w:rsid w:val="00EC1752"/>
    <w:rsid w:val="00EC331C"/>
    <w:rsid w:val="00EC5E4B"/>
    <w:rsid w:val="00ED06E5"/>
    <w:rsid w:val="00ED128D"/>
    <w:rsid w:val="00ED1805"/>
    <w:rsid w:val="00ED1CA3"/>
    <w:rsid w:val="00ED2C93"/>
    <w:rsid w:val="00ED31F5"/>
    <w:rsid w:val="00EE0322"/>
    <w:rsid w:val="00EE2672"/>
    <w:rsid w:val="00EE58CF"/>
    <w:rsid w:val="00EE7266"/>
    <w:rsid w:val="00EE7285"/>
    <w:rsid w:val="00EE785C"/>
    <w:rsid w:val="00EF4018"/>
    <w:rsid w:val="00EF459A"/>
    <w:rsid w:val="00EF4A5E"/>
    <w:rsid w:val="00EF4C00"/>
    <w:rsid w:val="00EF6388"/>
    <w:rsid w:val="00EF7822"/>
    <w:rsid w:val="00EF7B04"/>
    <w:rsid w:val="00F02895"/>
    <w:rsid w:val="00F02EFA"/>
    <w:rsid w:val="00F03E10"/>
    <w:rsid w:val="00F04C1A"/>
    <w:rsid w:val="00F12043"/>
    <w:rsid w:val="00F13681"/>
    <w:rsid w:val="00F136D1"/>
    <w:rsid w:val="00F13DC2"/>
    <w:rsid w:val="00F15EE2"/>
    <w:rsid w:val="00F223F5"/>
    <w:rsid w:val="00F2574B"/>
    <w:rsid w:val="00F25CFB"/>
    <w:rsid w:val="00F26BE0"/>
    <w:rsid w:val="00F3050A"/>
    <w:rsid w:val="00F30679"/>
    <w:rsid w:val="00F323F2"/>
    <w:rsid w:val="00F3693C"/>
    <w:rsid w:val="00F45A07"/>
    <w:rsid w:val="00F46C4A"/>
    <w:rsid w:val="00F47E86"/>
    <w:rsid w:val="00F5607D"/>
    <w:rsid w:val="00F56137"/>
    <w:rsid w:val="00F57D37"/>
    <w:rsid w:val="00F600F0"/>
    <w:rsid w:val="00F60C06"/>
    <w:rsid w:val="00F64317"/>
    <w:rsid w:val="00F65B28"/>
    <w:rsid w:val="00F65C5A"/>
    <w:rsid w:val="00F6603F"/>
    <w:rsid w:val="00F663A7"/>
    <w:rsid w:val="00F67BBF"/>
    <w:rsid w:val="00F7397E"/>
    <w:rsid w:val="00F749ED"/>
    <w:rsid w:val="00F75040"/>
    <w:rsid w:val="00F75A62"/>
    <w:rsid w:val="00F7685C"/>
    <w:rsid w:val="00F81AB2"/>
    <w:rsid w:val="00F8346C"/>
    <w:rsid w:val="00F84BC9"/>
    <w:rsid w:val="00F8581F"/>
    <w:rsid w:val="00F8662A"/>
    <w:rsid w:val="00F87C85"/>
    <w:rsid w:val="00F87F79"/>
    <w:rsid w:val="00F933E0"/>
    <w:rsid w:val="00F94E90"/>
    <w:rsid w:val="00F961A7"/>
    <w:rsid w:val="00F96E51"/>
    <w:rsid w:val="00F9748B"/>
    <w:rsid w:val="00F97C12"/>
    <w:rsid w:val="00FA0B53"/>
    <w:rsid w:val="00FA60B0"/>
    <w:rsid w:val="00FA631F"/>
    <w:rsid w:val="00FB2A96"/>
    <w:rsid w:val="00FB43EB"/>
    <w:rsid w:val="00FB49D9"/>
    <w:rsid w:val="00FB61B6"/>
    <w:rsid w:val="00FB71F3"/>
    <w:rsid w:val="00FB7DCE"/>
    <w:rsid w:val="00FC0EDD"/>
    <w:rsid w:val="00FC2D48"/>
    <w:rsid w:val="00FC5AAB"/>
    <w:rsid w:val="00FC6366"/>
    <w:rsid w:val="00FC67B9"/>
    <w:rsid w:val="00FC74E3"/>
    <w:rsid w:val="00FD1AD0"/>
    <w:rsid w:val="00FD27E1"/>
    <w:rsid w:val="00FD299D"/>
    <w:rsid w:val="00FE1DC9"/>
    <w:rsid w:val="00FE340D"/>
    <w:rsid w:val="00FE4C34"/>
    <w:rsid w:val="00FE5F2D"/>
    <w:rsid w:val="00FE747C"/>
    <w:rsid w:val="00FE791D"/>
    <w:rsid w:val="00FF0BC9"/>
    <w:rsid w:val="00FF4D03"/>
    <w:rsid w:val="00FF5B59"/>
    <w:rsid w:val="00FF67CE"/>
    <w:rsid w:val="00FF72AF"/>
    <w:rsid w:val="01259156"/>
    <w:rsid w:val="016B90AD"/>
    <w:rsid w:val="0180257A"/>
    <w:rsid w:val="018DDF0B"/>
    <w:rsid w:val="01B07228"/>
    <w:rsid w:val="01DAF680"/>
    <w:rsid w:val="01FD4F11"/>
    <w:rsid w:val="02689894"/>
    <w:rsid w:val="0273CD7D"/>
    <w:rsid w:val="027CFF34"/>
    <w:rsid w:val="028CD746"/>
    <w:rsid w:val="02B1C5B3"/>
    <w:rsid w:val="02D991E1"/>
    <w:rsid w:val="02E1DF45"/>
    <w:rsid w:val="02E8E585"/>
    <w:rsid w:val="02F7D676"/>
    <w:rsid w:val="0315FF38"/>
    <w:rsid w:val="0346DA24"/>
    <w:rsid w:val="03609B19"/>
    <w:rsid w:val="03803AFB"/>
    <w:rsid w:val="03868C28"/>
    <w:rsid w:val="03B00455"/>
    <w:rsid w:val="040FEF5F"/>
    <w:rsid w:val="0412643F"/>
    <w:rsid w:val="041ECC94"/>
    <w:rsid w:val="0473B5A8"/>
    <w:rsid w:val="0487EF79"/>
    <w:rsid w:val="04989EBF"/>
    <w:rsid w:val="04AB6295"/>
    <w:rsid w:val="04B0640C"/>
    <w:rsid w:val="04F1E309"/>
    <w:rsid w:val="04FF1067"/>
    <w:rsid w:val="0525CD77"/>
    <w:rsid w:val="052AC036"/>
    <w:rsid w:val="0552DA66"/>
    <w:rsid w:val="055ADFB6"/>
    <w:rsid w:val="057DD11C"/>
    <w:rsid w:val="058D0B24"/>
    <w:rsid w:val="0590C3D3"/>
    <w:rsid w:val="05A9BB33"/>
    <w:rsid w:val="05DB97FF"/>
    <w:rsid w:val="05DF2CAC"/>
    <w:rsid w:val="05E8C456"/>
    <w:rsid w:val="06198007"/>
    <w:rsid w:val="0634EDB8"/>
    <w:rsid w:val="065AACA1"/>
    <w:rsid w:val="066AEC70"/>
    <w:rsid w:val="0679AE5F"/>
    <w:rsid w:val="0691CA77"/>
    <w:rsid w:val="06987B71"/>
    <w:rsid w:val="06C70D41"/>
    <w:rsid w:val="06DF8A24"/>
    <w:rsid w:val="06F3507C"/>
    <w:rsid w:val="07023E0E"/>
    <w:rsid w:val="0703BD10"/>
    <w:rsid w:val="07557B2E"/>
    <w:rsid w:val="076FFE4A"/>
    <w:rsid w:val="078BD560"/>
    <w:rsid w:val="079A8F5B"/>
    <w:rsid w:val="07A5EE7F"/>
    <w:rsid w:val="07ABD5B7"/>
    <w:rsid w:val="080190C6"/>
    <w:rsid w:val="08332131"/>
    <w:rsid w:val="0853D4F1"/>
    <w:rsid w:val="08599306"/>
    <w:rsid w:val="091F261A"/>
    <w:rsid w:val="0928AB6A"/>
    <w:rsid w:val="09441A84"/>
    <w:rsid w:val="098D00B6"/>
    <w:rsid w:val="09D47999"/>
    <w:rsid w:val="09FEE506"/>
    <w:rsid w:val="0A080EA0"/>
    <w:rsid w:val="0A77D7E9"/>
    <w:rsid w:val="0A853439"/>
    <w:rsid w:val="0A8D4646"/>
    <w:rsid w:val="0AB48151"/>
    <w:rsid w:val="0B207DF7"/>
    <w:rsid w:val="0B5F4FD6"/>
    <w:rsid w:val="0B8DEE9E"/>
    <w:rsid w:val="0BE0B41D"/>
    <w:rsid w:val="0BEBFB2D"/>
    <w:rsid w:val="0BED9255"/>
    <w:rsid w:val="0BF0DB84"/>
    <w:rsid w:val="0C1B1578"/>
    <w:rsid w:val="0C2084D2"/>
    <w:rsid w:val="0C4F029B"/>
    <w:rsid w:val="0C641DA4"/>
    <w:rsid w:val="0CE66539"/>
    <w:rsid w:val="0CFF1C3A"/>
    <w:rsid w:val="0D242A77"/>
    <w:rsid w:val="0D430AAB"/>
    <w:rsid w:val="0D7C847E"/>
    <w:rsid w:val="0D8B8532"/>
    <w:rsid w:val="0DA5F134"/>
    <w:rsid w:val="0DB5AB6D"/>
    <w:rsid w:val="0DE03373"/>
    <w:rsid w:val="0DE4B864"/>
    <w:rsid w:val="0E2DA4F1"/>
    <w:rsid w:val="0E583604"/>
    <w:rsid w:val="0E610C8C"/>
    <w:rsid w:val="0E73E459"/>
    <w:rsid w:val="0E794E13"/>
    <w:rsid w:val="0EE9AE8B"/>
    <w:rsid w:val="0EF1DE66"/>
    <w:rsid w:val="0F371F07"/>
    <w:rsid w:val="0F921531"/>
    <w:rsid w:val="0FEF84BC"/>
    <w:rsid w:val="0FF54C73"/>
    <w:rsid w:val="102C7ED4"/>
    <w:rsid w:val="105AFF1D"/>
    <w:rsid w:val="1096FC04"/>
    <w:rsid w:val="10AA795A"/>
    <w:rsid w:val="10EC40AD"/>
    <w:rsid w:val="10F61855"/>
    <w:rsid w:val="10FFFCAE"/>
    <w:rsid w:val="110F1254"/>
    <w:rsid w:val="1124D453"/>
    <w:rsid w:val="112F1B91"/>
    <w:rsid w:val="11361601"/>
    <w:rsid w:val="114446D6"/>
    <w:rsid w:val="11472DCD"/>
    <w:rsid w:val="115CFF26"/>
    <w:rsid w:val="11689AAC"/>
    <w:rsid w:val="11C81E12"/>
    <w:rsid w:val="11EB6C7B"/>
    <w:rsid w:val="120E53B2"/>
    <w:rsid w:val="120E53EC"/>
    <w:rsid w:val="1223FF5F"/>
    <w:rsid w:val="124E8D7E"/>
    <w:rsid w:val="1255AD18"/>
    <w:rsid w:val="1262F134"/>
    <w:rsid w:val="12817871"/>
    <w:rsid w:val="128D0BD6"/>
    <w:rsid w:val="129112E4"/>
    <w:rsid w:val="12B6F544"/>
    <w:rsid w:val="12CED5E6"/>
    <w:rsid w:val="12DE29EA"/>
    <w:rsid w:val="12E72DDC"/>
    <w:rsid w:val="13265DD6"/>
    <w:rsid w:val="136B21B1"/>
    <w:rsid w:val="13701762"/>
    <w:rsid w:val="137FC512"/>
    <w:rsid w:val="13C822F9"/>
    <w:rsid w:val="13C88043"/>
    <w:rsid w:val="13CD8C11"/>
    <w:rsid w:val="144F7492"/>
    <w:rsid w:val="146DB6C3"/>
    <w:rsid w:val="147F5609"/>
    <w:rsid w:val="14A36E6D"/>
    <w:rsid w:val="14D97B6C"/>
    <w:rsid w:val="14DC2E37"/>
    <w:rsid w:val="15001758"/>
    <w:rsid w:val="154D721B"/>
    <w:rsid w:val="154DF61E"/>
    <w:rsid w:val="155626F6"/>
    <w:rsid w:val="1572BAC2"/>
    <w:rsid w:val="1597232E"/>
    <w:rsid w:val="15B5E963"/>
    <w:rsid w:val="15D63B1C"/>
    <w:rsid w:val="1614FBC0"/>
    <w:rsid w:val="165FF993"/>
    <w:rsid w:val="1667CE34"/>
    <w:rsid w:val="167965EC"/>
    <w:rsid w:val="16BAEEF4"/>
    <w:rsid w:val="16FDB985"/>
    <w:rsid w:val="171A7BFF"/>
    <w:rsid w:val="171C497D"/>
    <w:rsid w:val="1748B11B"/>
    <w:rsid w:val="17565F0E"/>
    <w:rsid w:val="176009D5"/>
    <w:rsid w:val="177FF0CE"/>
    <w:rsid w:val="17CC7223"/>
    <w:rsid w:val="17D7DEFC"/>
    <w:rsid w:val="17E28FFB"/>
    <w:rsid w:val="18244CCF"/>
    <w:rsid w:val="184FCC75"/>
    <w:rsid w:val="18944F41"/>
    <w:rsid w:val="189989E6"/>
    <w:rsid w:val="18A9D901"/>
    <w:rsid w:val="18B9273E"/>
    <w:rsid w:val="18D55878"/>
    <w:rsid w:val="18D720FB"/>
    <w:rsid w:val="18E67DC3"/>
    <w:rsid w:val="18F6DB7F"/>
    <w:rsid w:val="19078475"/>
    <w:rsid w:val="190EF5D9"/>
    <w:rsid w:val="191C9591"/>
    <w:rsid w:val="195E06D9"/>
    <w:rsid w:val="1967AAD8"/>
    <w:rsid w:val="19C20928"/>
    <w:rsid w:val="19ECB0F8"/>
    <w:rsid w:val="1A2184B0"/>
    <w:rsid w:val="1A2E6483"/>
    <w:rsid w:val="1A68F9E3"/>
    <w:rsid w:val="1A754F07"/>
    <w:rsid w:val="1A916E25"/>
    <w:rsid w:val="1AA35D14"/>
    <w:rsid w:val="1AA368BE"/>
    <w:rsid w:val="1ABDF58B"/>
    <w:rsid w:val="1ABE2445"/>
    <w:rsid w:val="1AD2D5AB"/>
    <w:rsid w:val="1B081816"/>
    <w:rsid w:val="1B2FC6A4"/>
    <w:rsid w:val="1BADFAB8"/>
    <w:rsid w:val="1BCADE43"/>
    <w:rsid w:val="1C1A118D"/>
    <w:rsid w:val="1C1AC69D"/>
    <w:rsid w:val="1C310218"/>
    <w:rsid w:val="1C4CFEFC"/>
    <w:rsid w:val="1C70FC17"/>
    <w:rsid w:val="1C881554"/>
    <w:rsid w:val="1C8A40E8"/>
    <w:rsid w:val="1C9F3CDC"/>
    <w:rsid w:val="1CB39D33"/>
    <w:rsid w:val="1CB4DF67"/>
    <w:rsid w:val="1CD1E4FC"/>
    <w:rsid w:val="1CF399CC"/>
    <w:rsid w:val="1CFA9DFE"/>
    <w:rsid w:val="1D5362CD"/>
    <w:rsid w:val="1D7181F8"/>
    <w:rsid w:val="1D98ABE6"/>
    <w:rsid w:val="1DDEF774"/>
    <w:rsid w:val="1DDEFCD8"/>
    <w:rsid w:val="1E56AA26"/>
    <w:rsid w:val="1E5B65F7"/>
    <w:rsid w:val="1E8F88C6"/>
    <w:rsid w:val="1E9DFE5B"/>
    <w:rsid w:val="1EACA0AC"/>
    <w:rsid w:val="1EEFF592"/>
    <w:rsid w:val="1EF76FBA"/>
    <w:rsid w:val="1F082058"/>
    <w:rsid w:val="1F4570CF"/>
    <w:rsid w:val="1F62252A"/>
    <w:rsid w:val="1F93159F"/>
    <w:rsid w:val="1F9D63A1"/>
    <w:rsid w:val="1FA2C7A3"/>
    <w:rsid w:val="1FA91857"/>
    <w:rsid w:val="1FBB504C"/>
    <w:rsid w:val="1FC03A03"/>
    <w:rsid w:val="1FC67FE5"/>
    <w:rsid w:val="1FD8D707"/>
    <w:rsid w:val="201E1849"/>
    <w:rsid w:val="2029611B"/>
    <w:rsid w:val="2074566C"/>
    <w:rsid w:val="2093D6F2"/>
    <w:rsid w:val="20B0C58B"/>
    <w:rsid w:val="20B742CC"/>
    <w:rsid w:val="20BD6451"/>
    <w:rsid w:val="20D160B4"/>
    <w:rsid w:val="20D61951"/>
    <w:rsid w:val="210CEDF6"/>
    <w:rsid w:val="213E99F3"/>
    <w:rsid w:val="2163C7BC"/>
    <w:rsid w:val="218DC320"/>
    <w:rsid w:val="2196584F"/>
    <w:rsid w:val="21DB8253"/>
    <w:rsid w:val="21EB286A"/>
    <w:rsid w:val="22093972"/>
    <w:rsid w:val="22D477DC"/>
    <w:rsid w:val="22F5AF5F"/>
    <w:rsid w:val="23093016"/>
    <w:rsid w:val="23141A5A"/>
    <w:rsid w:val="235CD9F0"/>
    <w:rsid w:val="236FCF83"/>
    <w:rsid w:val="23FF8342"/>
    <w:rsid w:val="24119E5E"/>
    <w:rsid w:val="24590CD8"/>
    <w:rsid w:val="245A1AC6"/>
    <w:rsid w:val="24613D5B"/>
    <w:rsid w:val="24BDB55A"/>
    <w:rsid w:val="24D929CC"/>
    <w:rsid w:val="250B0328"/>
    <w:rsid w:val="2522A4A8"/>
    <w:rsid w:val="2531BF8E"/>
    <w:rsid w:val="2538B430"/>
    <w:rsid w:val="25CAD28B"/>
    <w:rsid w:val="25F15EC4"/>
    <w:rsid w:val="26016758"/>
    <w:rsid w:val="2639AB80"/>
    <w:rsid w:val="264B502D"/>
    <w:rsid w:val="264F2912"/>
    <w:rsid w:val="266A6194"/>
    <w:rsid w:val="269416A2"/>
    <w:rsid w:val="26A0EE3B"/>
    <w:rsid w:val="271179A7"/>
    <w:rsid w:val="2722C82E"/>
    <w:rsid w:val="2746B7FD"/>
    <w:rsid w:val="275E81BA"/>
    <w:rsid w:val="27836E9F"/>
    <w:rsid w:val="2790248C"/>
    <w:rsid w:val="281094EF"/>
    <w:rsid w:val="2841B05F"/>
    <w:rsid w:val="28922242"/>
    <w:rsid w:val="28DBD336"/>
    <w:rsid w:val="290C098C"/>
    <w:rsid w:val="291A464B"/>
    <w:rsid w:val="2929A58A"/>
    <w:rsid w:val="292A05F5"/>
    <w:rsid w:val="2956D41E"/>
    <w:rsid w:val="2A215604"/>
    <w:rsid w:val="2A226D18"/>
    <w:rsid w:val="2A307AE5"/>
    <w:rsid w:val="2A37425B"/>
    <w:rsid w:val="2A5F974C"/>
    <w:rsid w:val="2A6A6576"/>
    <w:rsid w:val="2A798606"/>
    <w:rsid w:val="2A88D8B3"/>
    <w:rsid w:val="2A89C4FB"/>
    <w:rsid w:val="2A97D74C"/>
    <w:rsid w:val="2ABD8FC2"/>
    <w:rsid w:val="2AEB3F1D"/>
    <w:rsid w:val="2AF1FDD9"/>
    <w:rsid w:val="2B34F7BE"/>
    <w:rsid w:val="2B4A3183"/>
    <w:rsid w:val="2B59C276"/>
    <w:rsid w:val="2B68755C"/>
    <w:rsid w:val="2B6E2271"/>
    <w:rsid w:val="2B9430E7"/>
    <w:rsid w:val="2BDE0BC7"/>
    <w:rsid w:val="2C32089F"/>
    <w:rsid w:val="2C32C3BB"/>
    <w:rsid w:val="2C33A7AD"/>
    <w:rsid w:val="2C35CB4E"/>
    <w:rsid w:val="2C8D2658"/>
    <w:rsid w:val="2CA077B6"/>
    <w:rsid w:val="2CA594B0"/>
    <w:rsid w:val="2CA91174"/>
    <w:rsid w:val="2CAF3CB7"/>
    <w:rsid w:val="2CC57B18"/>
    <w:rsid w:val="2CD5F1CA"/>
    <w:rsid w:val="2D5EF96B"/>
    <w:rsid w:val="2D880EB1"/>
    <w:rsid w:val="2DA5C80F"/>
    <w:rsid w:val="2DBC4285"/>
    <w:rsid w:val="2DDCC269"/>
    <w:rsid w:val="2E1B2CB4"/>
    <w:rsid w:val="2E1B504A"/>
    <w:rsid w:val="2E1DE60A"/>
    <w:rsid w:val="2E285785"/>
    <w:rsid w:val="2E29BF2A"/>
    <w:rsid w:val="2E2A2DDE"/>
    <w:rsid w:val="2E46BD83"/>
    <w:rsid w:val="2E5C6100"/>
    <w:rsid w:val="2E84284F"/>
    <w:rsid w:val="2EC750A1"/>
    <w:rsid w:val="2EC9A03B"/>
    <w:rsid w:val="2ECE818B"/>
    <w:rsid w:val="2ED25A08"/>
    <w:rsid w:val="2F33619C"/>
    <w:rsid w:val="2FA51E80"/>
    <w:rsid w:val="2FBBC771"/>
    <w:rsid w:val="2FC0C176"/>
    <w:rsid w:val="2FC5B6A6"/>
    <w:rsid w:val="2FD9444F"/>
    <w:rsid w:val="2FDE914F"/>
    <w:rsid w:val="30280E83"/>
    <w:rsid w:val="30608847"/>
    <w:rsid w:val="3105AED5"/>
    <w:rsid w:val="31091380"/>
    <w:rsid w:val="3128E398"/>
    <w:rsid w:val="3140616A"/>
    <w:rsid w:val="3167EC5C"/>
    <w:rsid w:val="3178EA7F"/>
    <w:rsid w:val="317A8990"/>
    <w:rsid w:val="31BEBA73"/>
    <w:rsid w:val="31BF6284"/>
    <w:rsid w:val="31C9F361"/>
    <w:rsid w:val="31E96231"/>
    <w:rsid w:val="31EB2327"/>
    <w:rsid w:val="31EC4AC8"/>
    <w:rsid w:val="321E21B2"/>
    <w:rsid w:val="3226333D"/>
    <w:rsid w:val="326B025E"/>
    <w:rsid w:val="32DB910A"/>
    <w:rsid w:val="32FA9B8D"/>
    <w:rsid w:val="3309F937"/>
    <w:rsid w:val="3311531F"/>
    <w:rsid w:val="3312AA59"/>
    <w:rsid w:val="331535DC"/>
    <w:rsid w:val="33161196"/>
    <w:rsid w:val="332585BD"/>
    <w:rsid w:val="3326C59E"/>
    <w:rsid w:val="3327C31D"/>
    <w:rsid w:val="33351BCC"/>
    <w:rsid w:val="33399556"/>
    <w:rsid w:val="3356D7CB"/>
    <w:rsid w:val="33602E80"/>
    <w:rsid w:val="336EDC56"/>
    <w:rsid w:val="337A6C62"/>
    <w:rsid w:val="33949D62"/>
    <w:rsid w:val="33A89C6E"/>
    <w:rsid w:val="33C6E070"/>
    <w:rsid w:val="33EE7C19"/>
    <w:rsid w:val="33F4B049"/>
    <w:rsid w:val="33F89557"/>
    <w:rsid w:val="3408F8CF"/>
    <w:rsid w:val="341BA56E"/>
    <w:rsid w:val="343D330D"/>
    <w:rsid w:val="3445DAB7"/>
    <w:rsid w:val="3446AD3C"/>
    <w:rsid w:val="3464C5F8"/>
    <w:rsid w:val="346973F4"/>
    <w:rsid w:val="348C0727"/>
    <w:rsid w:val="349F8669"/>
    <w:rsid w:val="34B42A17"/>
    <w:rsid w:val="34CCFAED"/>
    <w:rsid w:val="34F6620A"/>
    <w:rsid w:val="34FD73E4"/>
    <w:rsid w:val="3520606E"/>
    <w:rsid w:val="35346719"/>
    <w:rsid w:val="35354F58"/>
    <w:rsid w:val="3538F06C"/>
    <w:rsid w:val="35437893"/>
    <w:rsid w:val="357379AD"/>
    <w:rsid w:val="358C5F70"/>
    <w:rsid w:val="358EF66A"/>
    <w:rsid w:val="35B2C6AC"/>
    <w:rsid w:val="35CDB478"/>
    <w:rsid w:val="363B2E04"/>
    <w:rsid w:val="3647FC8D"/>
    <w:rsid w:val="36ABDA8F"/>
    <w:rsid w:val="36E37797"/>
    <w:rsid w:val="3707E650"/>
    <w:rsid w:val="371AA762"/>
    <w:rsid w:val="371BF6C3"/>
    <w:rsid w:val="373E7381"/>
    <w:rsid w:val="37426B87"/>
    <w:rsid w:val="3747A73D"/>
    <w:rsid w:val="377CB349"/>
    <w:rsid w:val="37A5D7A5"/>
    <w:rsid w:val="37B2200A"/>
    <w:rsid w:val="37B32F49"/>
    <w:rsid w:val="37CE82C0"/>
    <w:rsid w:val="37D68C96"/>
    <w:rsid w:val="3832B197"/>
    <w:rsid w:val="383CF722"/>
    <w:rsid w:val="3851E713"/>
    <w:rsid w:val="3875BD87"/>
    <w:rsid w:val="387A63F9"/>
    <w:rsid w:val="3887CF17"/>
    <w:rsid w:val="38B007EC"/>
    <w:rsid w:val="38CA1F2C"/>
    <w:rsid w:val="38E06601"/>
    <w:rsid w:val="39258256"/>
    <w:rsid w:val="3957BED3"/>
    <w:rsid w:val="39620D59"/>
    <w:rsid w:val="3966E5A7"/>
    <w:rsid w:val="396AEF5B"/>
    <w:rsid w:val="39764CBB"/>
    <w:rsid w:val="398A8853"/>
    <w:rsid w:val="39E33228"/>
    <w:rsid w:val="3A4200B4"/>
    <w:rsid w:val="3A4A04CB"/>
    <w:rsid w:val="3A6A7016"/>
    <w:rsid w:val="3A70ADAB"/>
    <w:rsid w:val="3AC7D9D9"/>
    <w:rsid w:val="3AE8D202"/>
    <w:rsid w:val="3B3A5E82"/>
    <w:rsid w:val="3B54B346"/>
    <w:rsid w:val="3B91AAE6"/>
    <w:rsid w:val="3BA6D593"/>
    <w:rsid w:val="3BAD9A64"/>
    <w:rsid w:val="3BBF1C02"/>
    <w:rsid w:val="3C4EC107"/>
    <w:rsid w:val="3C660910"/>
    <w:rsid w:val="3C8F53A9"/>
    <w:rsid w:val="3C9F4A66"/>
    <w:rsid w:val="3CBC3D68"/>
    <w:rsid w:val="3D4B2DBF"/>
    <w:rsid w:val="3D580A9A"/>
    <w:rsid w:val="3D5F925A"/>
    <w:rsid w:val="3D7EA9A0"/>
    <w:rsid w:val="3DA1693E"/>
    <w:rsid w:val="3DBBC2B9"/>
    <w:rsid w:val="3DD34CE2"/>
    <w:rsid w:val="3DDE472F"/>
    <w:rsid w:val="3DE827AD"/>
    <w:rsid w:val="3DEF54BE"/>
    <w:rsid w:val="3DF790C5"/>
    <w:rsid w:val="3E1ABD8B"/>
    <w:rsid w:val="3E4B9078"/>
    <w:rsid w:val="3E4CFDE0"/>
    <w:rsid w:val="3E66FADC"/>
    <w:rsid w:val="3E8A0B7F"/>
    <w:rsid w:val="3E916B16"/>
    <w:rsid w:val="3EA3EE8B"/>
    <w:rsid w:val="3ED717F8"/>
    <w:rsid w:val="3EE42442"/>
    <w:rsid w:val="3F110702"/>
    <w:rsid w:val="3F3FF442"/>
    <w:rsid w:val="3F4E3147"/>
    <w:rsid w:val="3F50218E"/>
    <w:rsid w:val="3F7C382D"/>
    <w:rsid w:val="3F7D2E1F"/>
    <w:rsid w:val="3F7EE387"/>
    <w:rsid w:val="3F7FA01F"/>
    <w:rsid w:val="3FBB4207"/>
    <w:rsid w:val="3FBF7A70"/>
    <w:rsid w:val="3FF9B65E"/>
    <w:rsid w:val="40098DE8"/>
    <w:rsid w:val="400E8A75"/>
    <w:rsid w:val="40476FD9"/>
    <w:rsid w:val="404B54E5"/>
    <w:rsid w:val="4074ABAE"/>
    <w:rsid w:val="40A0C432"/>
    <w:rsid w:val="40B8A248"/>
    <w:rsid w:val="40CE537A"/>
    <w:rsid w:val="40DEDE7E"/>
    <w:rsid w:val="40E3DBF5"/>
    <w:rsid w:val="40EE8CC0"/>
    <w:rsid w:val="41199E34"/>
    <w:rsid w:val="4138D473"/>
    <w:rsid w:val="41CB20AD"/>
    <w:rsid w:val="41DCB5A2"/>
    <w:rsid w:val="41F5CBF1"/>
    <w:rsid w:val="420A5DE3"/>
    <w:rsid w:val="420C98C1"/>
    <w:rsid w:val="4216B744"/>
    <w:rsid w:val="427C20EB"/>
    <w:rsid w:val="429905C7"/>
    <w:rsid w:val="42B50205"/>
    <w:rsid w:val="43293E90"/>
    <w:rsid w:val="434ED533"/>
    <w:rsid w:val="43525384"/>
    <w:rsid w:val="436206C9"/>
    <w:rsid w:val="436C62A1"/>
    <w:rsid w:val="4374E91B"/>
    <w:rsid w:val="43AFFF16"/>
    <w:rsid w:val="43F4FFB9"/>
    <w:rsid w:val="440D2243"/>
    <w:rsid w:val="442A4967"/>
    <w:rsid w:val="4439DDFC"/>
    <w:rsid w:val="449253B4"/>
    <w:rsid w:val="44C68884"/>
    <w:rsid w:val="44E37FF4"/>
    <w:rsid w:val="44E80E95"/>
    <w:rsid w:val="45268987"/>
    <w:rsid w:val="456B149A"/>
    <w:rsid w:val="4574F75A"/>
    <w:rsid w:val="45A16EC1"/>
    <w:rsid w:val="45C258BE"/>
    <w:rsid w:val="45D38FDA"/>
    <w:rsid w:val="45EAA6F5"/>
    <w:rsid w:val="45FAF2E9"/>
    <w:rsid w:val="460D3089"/>
    <w:rsid w:val="468A76BB"/>
    <w:rsid w:val="469C1C9E"/>
    <w:rsid w:val="46C9D5E8"/>
    <w:rsid w:val="46D41BAD"/>
    <w:rsid w:val="46DF7A84"/>
    <w:rsid w:val="46E76EF5"/>
    <w:rsid w:val="4709718D"/>
    <w:rsid w:val="472D0B1B"/>
    <w:rsid w:val="474EED7C"/>
    <w:rsid w:val="475A779E"/>
    <w:rsid w:val="4772429D"/>
    <w:rsid w:val="47A2B9D5"/>
    <w:rsid w:val="47B38243"/>
    <w:rsid w:val="47C7D90B"/>
    <w:rsid w:val="48140B4E"/>
    <w:rsid w:val="48143FD1"/>
    <w:rsid w:val="481BBE66"/>
    <w:rsid w:val="4847C009"/>
    <w:rsid w:val="484A804E"/>
    <w:rsid w:val="485325F6"/>
    <w:rsid w:val="4856EF16"/>
    <w:rsid w:val="487819A5"/>
    <w:rsid w:val="48839A56"/>
    <w:rsid w:val="48D44E4E"/>
    <w:rsid w:val="48F2A0C0"/>
    <w:rsid w:val="4917BF5D"/>
    <w:rsid w:val="4921296D"/>
    <w:rsid w:val="49349B26"/>
    <w:rsid w:val="4938CB4C"/>
    <w:rsid w:val="4941F361"/>
    <w:rsid w:val="496AD089"/>
    <w:rsid w:val="49826205"/>
    <w:rsid w:val="49BB0F42"/>
    <w:rsid w:val="49DF6E88"/>
    <w:rsid w:val="49E1D30D"/>
    <w:rsid w:val="49E84A68"/>
    <w:rsid w:val="49ED8FDA"/>
    <w:rsid w:val="4A19EF58"/>
    <w:rsid w:val="4A20CEC7"/>
    <w:rsid w:val="4A27B1B2"/>
    <w:rsid w:val="4AA5AA69"/>
    <w:rsid w:val="4AC923A9"/>
    <w:rsid w:val="4ACE4BB2"/>
    <w:rsid w:val="4B0BC9A5"/>
    <w:rsid w:val="4B2C882F"/>
    <w:rsid w:val="4B2D325E"/>
    <w:rsid w:val="4B8F2C54"/>
    <w:rsid w:val="4BD265D0"/>
    <w:rsid w:val="4C2CFAD1"/>
    <w:rsid w:val="4C792801"/>
    <w:rsid w:val="4C7A6F1B"/>
    <w:rsid w:val="4C93D2B0"/>
    <w:rsid w:val="4C9CBFBC"/>
    <w:rsid w:val="4C9CF954"/>
    <w:rsid w:val="4CB1CA23"/>
    <w:rsid w:val="4CD772EB"/>
    <w:rsid w:val="4CE88ED7"/>
    <w:rsid w:val="4CF8E738"/>
    <w:rsid w:val="4CFF47AB"/>
    <w:rsid w:val="4D09DD6F"/>
    <w:rsid w:val="4D1F4478"/>
    <w:rsid w:val="4D227C8F"/>
    <w:rsid w:val="4D2D3CAF"/>
    <w:rsid w:val="4D5A0E9D"/>
    <w:rsid w:val="4D67AF1B"/>
    <w:rsid w:val="4D686D12"/>
    <w:rsid w:val="4D751F78"/>
    <w:rsid w:val="4D9C178C"/>
    <w:rsid w:val="4DC653C4"/>
    <w:rsid w:val="4DE0E93F"/>
    <w:rsid w:val="4E0EE286"/>
    <w:rsid w:val="4E0F27E6"/>
    <w:rsid w:val="4E139942"/>
    <w:rsid w:val="4E2866C8"/>
    <w:rsid w:val="4E46E1AE"/>
    <w:rsid w:val="4E6C78B6"/>
    <w:rsid w:val="4EB36362"/>
    <w:rsid w:val="4F55AA30"/>
    <w:rsid w:val="4F6045FE"/>
    <w:rsid w:val="4F7662AB"/>
    <w:rsid w:val="4FA144EA"/>
    <w:rsid w:val="4FB5E7D8"/>
    <w:rsid w:val="4FE00BDF"/>
    <w:rsid w:val="4FE82D42"/>
    <w:rsid w:val="50636113"/>
    <w:rsid w:val="5065D575"/>
    <w:rsid w:val="509F3718"/>
    <w:rsid w:val="50C30913"/>
    <w:rsid w:val="50D4A261"/>
    <w:rsid w:val="51755A8D"/>
    <w:rsid w:val="517FDF46"/>
    <w:rsid w:val="51939E9A"/>
    <w:rsid w:val="51B61561"/>
    <w:rsid w:val="51F2CCA3"/>
    <w:rsid w:val="520837A9"/>
    <w:rsid w:val="52443E0B"/>
    <w:rsid w:val="5279BC31"/>
    <w:rsid w:val="529AEBF2"/>
    <w:rsid w:val="529FAD19"/>
    <w:rsid w:val="52AE5D72"/>
    <w:rsid w:val="52D70FCD"/>
    <w:rsid w:val="53097AEA"/>
    <w:rsid w:val="5309F57E"/>
    <w:rsid w:val="531E045F"/>
    <w:rsid w:val="532281A6"/>
    <w:rsid w:val="5326868A"/>
    <w:rsid w:val="535FA22E"/>
    <w:rsid w:val="5362FBFE"/>
    <w:rsid w:val="5387AEF6"/>
    <w:rsid w:val="53BB2A2D"/>
    <w:rsid w:val="53C23059"/>
    <w:rsid w:val="53CE5A12"/>
    <w:rsid w:val="53DFD7BE"/>
    <w:rsid w:val="54336E9A"/>
    <w:rsid w:val="544191D7"/>
    <w:rsid w:val="5463B7BA"/>
    <w:rsid w:val="548426CA"/>
    <w:rsid w:val="54913C74"/>
    <w:rsid w:val="549B98F7"/>
    <w:rsid w:val="54BA3E62"/>
    <w:rsid w:val="54CFB3EB"/>
    <w:rsid w:val="54EDCED8"/>
    <w:rsid w:val="54EF8B4E"/>
    <w:rsid w:val="55190FAD"/>
    <w:rsid w:val="551CCB93"/>
    <w:rsid w:val="5534E365"/>
    <w:rsid w:val="5541A868"/>
    <w:rsid w:val="5545288A"/>
    <w:rsid w:val="556D2FFC"/>
    <w:rsid w:val="55975ABA"/>
    <w:rsid w:val="55BB337F"/>
    <w:rsid w:val="55D0ADF2"/>
    <w:rsid w:val="565AA4E5"/>
    <w:rsid w:val="5682AF6F"/>
    <w:rsid w:val="5695B2CD"/>
    <w:rsid w:val="570E2240"/>
    <w:rsid w:val="5719E42E"/>
    <w:rsid w:val="571E10E1"/>
    <w:rsid w:val="5749C63B"/>
    <w:rsid w:val="5753DF96"/>
    <w:rsid w:val="5757EAFC"/>
    <w:rsid w:val="575AC907"/>
    <w:rsid w:val="5782DE1A"/>
    <w:rsid w:val="578AECCB"/>
    <w:rsid w:val="5793A65D"/>
    <w:rsid w:val="57982250"/>
    <w:rsid w:val="579A4F4E"/>
    <w:rsid w:val="57D29E24"/>
    <w:rsid w:val="57F3DEB2"/>
    <w:rsid w:val="57FB3969"/>
    <w:rsid w:val="5809AC3C"/>
    <w:rsid w:val="5809F55C"/>
    <w:rsid w:val="58281D48"/>
    <w:rsid w:val="585C2073"/>
    <w:rsid w:val="588DB595"/>
    <w:rsid w:val="58A401EB"/>
    <w:rsid w:val="58DBE851"/>
    <w:rsid w:val="58E2A400"/>
    <w:rsid w:val="58FF3393"/>
    <w:rsid w:val="5918D608"/>
    <w:rsid w:val="59290BBC"/>
    <w:rsid w:val="5941DFD5"/>
    <w:rsid w:val="5996004E"/>
    <w:rsid w:val="59B7B80B"/>
    <w:rsid w:val="59D16BE1"/>
    <w:rsid w:val="5A21A61A"/>
    <w:rsid w:val="5A237F70"/>
    <w:rsid w:val="5A31A2CE"/>
    <w:rsid w:val="5A420D78"/>
    <w:rsid w:val="5A55C2A3"/>
    <w:rsid w:val="5A5AD5FE"/>
    <w:rsid w:val="5A6DFDAF"/>
    <w:rsid w:val="5A94EE2F"/>
    <w:rsid w:val="5A94F3A0"/>
    <w:rsid w:val="5AA02240"/>
    <w:rsid w:val="5AD5E749"/>
    <w:rsid w:val="5AE44DAD"/>
    <w:rsid w:val="5B81E0BA"/>
    <w:rsid w:val="5B9B7AD3"/>
    <w:rsid w:val="5BE19363"/>
    <w:rsid w:val="5C2BFE2F"/>
    <w:rsid w:val="5C40B857"/>
    <w:rsid w:val="5CF2AA21"/>
    <w:rsid w:val="5CFC5680"/>
    <w:rsid w:val="5D495B9F"/>
    <w:rsid w:val="5DCAE7D2"/>
    <w:rsid w:val="5DFAF9AB"/>
    <w:rsid w:val="5E086050"/>
    <w:rsid w:val="5E4B4059"/>
    <w:rsid w:val="5E5D1060"/>
    <w:rsid w:val="5E6587DA"/>
    <w:rsid w:val="5E7F307B"/>
    <w:rsid w:val="5E857886"/>
    <w:rsid w:val="5E9B510C"/>
    <w:rsid w:val="5EAE0F5F"/>
    <w:rsid w:val="5EBAC835"/>
    <w:rsid w:val="5ED328C7"/>
    <w:rsid w:val="5EE5BD86"/>
    <w:rsid w:val="5F148F29"/>
    <w:rsid w:val="5F66B833"/>
    <w:rsid w:val="5F8D7766"/>
    <w:rsid w:val="5FA85A22"/>
    <w:rsid w:val="5FCCC5C6"/>
    <w:rsid w:val="5FDD1682"/>
    <w:rsid w:val="5FE7B07C"/>
    <w:rsid w:val="60015A99"/>
    <w:rsid w:val="60334ECC"/>
    <w:rsid w:val="604670D0"/>
    <w:rsid w:val="60927B35"/>
    <w:rsid w:val="60A2F22D"/>
    <w:rsid w:val="60C353FC"/>
    <w:rsid w:val="60CFD61F"/>
    <w:rsid w:val="60DA083B"/>
    <w:rsid w:val="6131D9D9"/>
    <w:rsid w:val="61703354"/>
    <w:rsid w:val="6176180D"/>
    <w:rsid w:val="617FDDFF"/>
    <w:rsid w:val="61AB21D8"/>
    <w:rsid w:val="61B2A84F"/>
    <w:rsid w:val="61BF4B3F"/>
    <w:rsid w:val="61C059C8"/>
    <w:rsid w:val="61E4E7AE"/>
    <w:rsid w:val="6210274A"/>
    <w:rsid w:val="6222857E"/>
    <w:rsid w:val="622E4B96"/>
    <w:rsid w:val="62777D72"/>
    <w:rsid w:val="62853098"/>
    <w:rsid w:val="62A5D39D"/>
    <w:rsid w:val="62CB930C"/>
    <w:rsid w:val="62D89B88"/>
    <w:rsid w:val="62E3FB6F"/>
    <w:rsid w:val="62E73231"/>
    <w:rsid w:val="6319AB30"/>
    <w:rsid w:val="6327EAD6"/>
    <w:rsid w:val="6332CD82"/>
    <w:rsid w:val="637714CC"/>
    <w:rsid w:val="63818417"/>
    <w:rsid w:val="63821CEC"/>
    <w:rsid w:val="63E47A30"/>
    <w:rsid w:val="64037D3E"/>
    <w:rsid w:val="641744EA"/>
    <w:rsid w:val="6442AED5"/>
    <w:rsid w:val="6455E799"/>
    <w:rsid w:val="646017DC"/>
    <w:rsid w:val="648BF12B"/>
    <w:rsid w:val="649B82EF"/>
    <w:rsid w:val="64A18D9D"/>
    <w:rsid w:val="64C73FDE"/>
    <w:rsid w:val="64E4A82A"/>
    <w:rsid w:val="64E5C9C7"/>
    <w:rsid w:val="65B1B6D0"/>
    <w:rsid w:val="65E0C85C"/>
    <w:rsid w:val="65E488D3"/>
    <w:rsid w:val="65EF0B8A"/>
    <w:rsid w:val="661EB350"/>
    <w:rsid w:val="6655481A"/>
    <w:rsid w:val="66AE7E44"/>
    <w:rsid w:val="66CA37EC"/>
    <w:rsid w:val="66D6899E"/>
    <w:rsid w:val="66E016ED"/>
    <w:rsid w:val="6758A1BB"/>
    <w:rsid w:val="676260B1"/>
    <w:rsid w:val="6763DD65"/>
    <w:rsid w:val="676B7AB3"/>
    <w:rsid w:val="6784E586"/>
    <w:rsid w:val="67B21A7F"/>
    <w:rsid w:val="67CA67AA"/>
    <w:rsid w:val="67EA0CE5"/>
    <w:rsid w:val="68003AA3"/>
    <w:rsid w:val="68A3793D"/>
    <w:rsid w:val="68B2B968"/>
    <w:rsid w:val="691E73FD"/>
    <w:rsid w:val="6954EF16"/>
    <w:rsid w:val="69565412"/>
    <w:rsid w:val="696AAF9C"/>
    <w:rsid w:val="69955499"/>
    <w:rsid w:val="699AB101"/>
    <w:rsid w:val="69C1EF6F"/>
    <w:rsid w:val="69E63FFB"/>
    <w:rsid w:val="6A341218"/>
    <w:rsid w:val="6A7CA7C4"/>
    <w:rsid w:val="6A836CAB"/>
    <w:rsid w:val="6AA7940C"/>
    <w:rsid w:val="6B4CE9D5"/>
    <w:rsid w:val="6B52CBD6"/>
    <w:rsid w:val="6B83DD6A"/>
    <w:rsid w:val="6BA9BA47"/>
    <w:rsid w:val="6BC7108E"/>
    <w:rsid w:val="6BF46607"/>
    <w:rsid w:val="6C0CAC74"/>
    <w:rsid w:val="6C0EDE6F"/>
    <w:rsid w:val="6C28AD7E"/>
    <w:rsid w:val="6C907295"/>
    <w:rsid w:val="6CA5286E"/>
    <w:rsid w:val="6CA8EF03"/>
    <w:rsid w:val="6CACC236"/>
    <w:rsid w:val="6CD251C3"/>
    <w:rsid w:val="6D20AD96"/>
    <w:rsid w:val="6D8D1BDF"/>
    <w:rsid w:val="6DBBAC3D"/>
    <w:rsid w:val="6DE55569"/>
    <w:rsid w:val="6E2A6540"/>
    <w:rsid w:val="6E2E2565"/>
    <w:rsid w:val="6E4ACDAD"/>
    <w:rsid w:val="6E6E2224"/>
    <w:rsid w:val="6E7DF929"/>
    <w:rsid w:val="6E859678"/>
    <w:rsid w:val="6E90AEC6"/>
    <w:rsid w:val="6ED1C603"/>
    <w:rsid w:val="6EE82ADA"/>
    <w:rsid w:val="6F311FD2"/>
    <w:rsid w:val="6F649F48"/>
    <w:rsid w:val="6F766B18"/>
    <w:rsid w:val="6F78DE72"/>
    <w:rsid w:val="6FB3C350"/>
    <w:rsid w:val="6FB71FD1"/>
    <w:rsid w:val="6FCA832C"/>
    <w:rsid w:val="6FD2D56D"/>
    <w:rsid w:val="6FD9C569"/>
    <w:rsid w:val="6FDCC930"/>
    <w:rsid w:val="6FDDA072"/>
    <w:rsid w:val="6FEF1F2D"/>
    <w:rsid w:val="6FFF1115"/>
    <w:rsid w:val="7022FA4A"/>
    <w:rsid w:val="703D089A"/>
    <w:rsid w:val="70548E15"/>
    <w:rsid w:val="70589118"/>
    <w:rsid w:val="707AF9EA"/>
    <w:rsid w:val="707BE7A9"/>
    <w:rsid w:val="70B3229D"/>
    <w:rsid w:val="70B5232E"/>
    <w:rsid w:val="70B9D8F7"/>
    <w:rsid w:val="70D7F3E6"/>
    <w:rsid w:val="710DB72C"/>
    <w:rsid w:val="711ECAFA"/>
    <w:rsid w:val="715754F1"/>
    <w:rsid w:val="718B0997"/>
    <w:rsid w:val="718DD292"/>
    <w:rsid w:val="71AF971E"/>
    <w:rsid w:val="71B0C355"/>
    <w:rsid w:val="71CB3705"/>
    <w:rsid w:val="71F68B0B"/>
    <w:rsid w:val="71FDB159"/>
    <w:rsid w:val="7211F6B8"/>
    <w:rsid w:val="723E41C7"/>
    <w:rsid w:val="723E57D8"/>
    <w:rsid w:val="72407351"/>
    <w:rsid w:val="72500B99"/>
    <w:rsid w:val="7262BD5C"/>
    <w:rsid w:val="7295DC02"/>
    <w:rsid w:val="72C6620F"/>
    <w:rsid w:val="732011A8"/>
    <w:rsid w:val="74091014"/>
    <w:rsid w:val="742D252C"/>
    <w:rsid w:val="742EB609"/>
    <w:rsid w:val="743A2E82"/>
    <w:rsid w:val="744726DB"/>
    <w:rsid w:val="74537855"/>
    <w:rsid w:val="74616ECF"/>
    <w:rsid w:val="74A0E113"/>
    <w:rsid w:val="74A99B56"/>
    <w:rsid w:val="74AD368C"/>
    <w:rsid w:val="74F76F98"/>
    <w:rsid w:val="751D8F59"/>
    <w:rsid w:val="7528495F"/>
    <w:rsid w:val="7531E2EC"/>
    <w:rsid w:val="75367B0D"/>
    <w:rsid w:val="7566C75D"/>
    <w:rsid w:val="75EBADA0"/>
    <w:rsid w:val="760D46D0"/>
    <w:rsid w:val="761D1A43"/>
    <w:rsid w:val="76281569"/>
    <w:rsid w:val="7637A067"/>
    <w:rsid w:val="76481512"/>
    <w:rsid w:val="764AA803"/>
    <w:rsid w:val="7661E1A3"/>
    <w:rsid w:val="7670C023"/>
    <w:rsid w:val="7670E9A9"/>
    <w:rsid w:val="76793409"/>
    <w:rsid w:val="7708B306"/>
    <w:rsid w:val="770B143D"/>
    <w:rsid w:val="77360CF5"/>
    <w:rsid w:val="773F6E04"/>
    <w:rsid w:val="7745B3A7"/>
    <w:rsid w:val="777F0C90"/>
    <w:rsid w:val="77A97FB5"/>
    <w:rsid w:val="77AF28ED"/>
    <w:rsid w:val="77AF56BC"/>
    <w:rsid w:val="77FD8628"/>
    <w:rsid w:val="780AB371"/>
    <w:rsid w:val="781C4E88"/>
    <w:rsid w:val="788C3530"/>
    <w:rsid w:val="78EF454A"/>
    <w:rsid w:val="78F17F27"/>
    <w:rsid w:val="78F50662"/>
    <w:rsid w:val="792ADC5E"/>
    <w:rsid w:val="7939689B"/>
    <w:rsid w:val="793D180C"/>
    <w:rsid w:val="793D2626"/>
    <w:rsid w:val="79464A21"/>
    <w:rsid w:val="7993FA24"/>
    <w:rsid w:val="79D84AB7"/>
    <w:rsid w:val="79F69F8F"/>
    <w:rsid w:val="7A17FBDB"/>
    <w:rsid w:val="7A2106D8"/>
    <w:rsid w:val="7A3AD3FF"/>
    <w:rsid w:val="7A7D2122"/>
    <w:rsid w:val="7A818288"/>
    <w:rsid w:val="7A923E84"/>
    <w:rsid w:val="7A98EE0C"/>
    <w:rsid w:val="7AA06A00"/>
    <w:rsid w:val="7AD259DD"/>
    <w:rsid w:val="7B337AAB"/>
    <w:rsid w:val="7B68857C"/>
    <w:rsid w:val="7B8A5981"/>
    <w:rsid w:val="7BC2547D"/>
    <w:rsid w:val="7C184FEA"/>
    <w:rsid w:val="7C2150C7"/>
    <w:rsid w:val="7C260197"/>
    <w:rsid w:val="7C5ACB21"/>
    <w:rsid w:val="7C6D3090"/>
    <w:rsid w:val="7C8F6305"/>
    <w:rsid w:val="7C99B83A"/>
    <w:rsid w:val="7CA87954"/>
    <w:rsid w:val="7CC3D771"/>
    <w:rsid w:val="7CD2D057"/>
    <w:rsid w:val="7CFDA02D"/>
    <w:rsid w:val="7D17F453"/>
    <w:rsid w:val="7D2EA65D"/>
    <w:rsid w:val="7D99932B"/>
    <w:rsid w:val="7DA19C9F"/>
    <w:rsid w:val="7DA9C12A"/>
    <w:rsid w:val="7DF7091E"/>
    <w:rsid w:val="7E4A769E"/>
    <w:rsid w:val="7E563D66"/>
    <w:rsid w:val="7E6E6D60"/>
    <w:rsid w:val="7E81D841"/>
    <w:rsid w:val="7E8552B3"/>
    <w:rsid w:val="7E99D42D"/>
    <w:rsid w:val="7F4C9904"/>
    <w:rsid w:val="7F601876"/>
    <w:rsid w:val="7FA05E89"/>
    <w:rsid w:val="7FB94587"/>
    <w:rsid w:val="7FF802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3D429D"/>
  <w15:docId w15:val="{A523DFD8-691B-4F47-AA7C-E6FE981296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locked="1" w:semiHidden="1" w:uiPriority="99" w:unhideWhenUsed="1" w:qFormat="1"/>
    <w:lsdException w:name="header" w:locked="1" w:semiHidden="1" w:uiPriority="99"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locked="1"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semiHidden="1" w:unhideWhenUsed="1"/>
    <w:lsdException w:name="Body Text Indent 3" w:locked="1" w:semiHidden="1" w:unhideWhenUsed="1"/>
    <w:lsdException w:name="Block Text" w:semiHidden="1" w:unhideWhenUsed="1"/>
    <w:lsdException w:name="Hyperlink" w:locked="1" w:semiHidden="1" w:uiPriority="99"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A513E"/>
    <w:pPr>
      <w:suppressAutoHyphens/>
    </w:pPr>
    <w:rPr>
      <w:rFonts w:ascii="Times New Roman" w:hAnsi="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autoRedefine/>
    <w:rsid w:val="00DA513E"/>
    <w:pPr>
      <w:suppressAutoHyphens w:val="0"/>
      <w:spacing w:after="120" w:line="240" w:lineRule="exact"/>
    </w:pPr>
    <w:rPr>
      <w:rFonts w:ascii="Arial" w:hAnsi="Arial" w:cs="Arial"/>
      <w:sz w:val="20"/>
      <w:szCs w:val="20"/>
      <w:lang w:val="en-US" w:eastAsia="en-US"/>
    </w:rPr>
  </w:style>
  <w:style w:type="character" w:styleId="Numerstrony">
    <w:name w:val="page number"/>
    <w:rsid w:val="00DA513E"/>
    <w:rPr>
      <w:rFonts w:cs="Times New Roman"/>
    </w:rPr>
  </w:style>
  <w:style w:type="character" w:styleId="Pogrubienie">
    <w:name w:val="Strong"/>
    <w:aliases w:val="Tekst treści + Lucida Sans Unicode,8,5 pt"/>
    <w:uiPriority w:val="22"/>
    <w:qFormat/>
    <w:rsid w:val="00DA513E"/>
    <w:rPr>
      <w:rFonts w:cs="Times New Roman"/>
      <w:b/>
      <w:bCs/>
    </w:rPr>
  </w:style>
  <w:style w:type="paragraph" w:styleId="Tekstpodstawowy">
    <w:name w:val="Body Text"/>
    <w:basedOn w:val="Normalny"/>
    <w:link w:val="TekstpodstawowyZnak"/>
    <w:rsid w:val="00DA513E"/>
    <w:pPr>
      <w:spacing w:after="120"/>
    </w:pPr>
  </w:style>
  <w:style w:type="character" w:customStyle="1" w:styleId="TekstpodstawowyZnak">
    <w:name w:val="Tekst podstawowy Znak"/>
    <w:link w:val="Tekstpodstawowy"/>
    <w:locked/>
    <w:rsid w:val="00DA513E"/>
    <w:rPr>
      <w:rFonts w:ascii="Times New Roman" w:hAnsi="Times New Roman" w:cs="Times New Roman"/>
      <w:sz w:val="24"/>
      <w:szCs w:val="24"/>
      <w:lang w:val="x-none" w:eastAsia="ar-SA" w:bidi="ar-SA"/>
    </w:rPr>
  </w:style>
  <w:style w:type="paragraph" w:styleId="Stopka">
    <w:name w:val="footer"/>
    <w:basedOn w:val="Normalny"/>
    <w:link w:val="StopkaZnak"/>
    <w:rsid w:val="00DA513E"/>
    <w:pPr>
      <w:tabs>
        <w:tab w:val="center" w:pos="4536"/>
        <w:tab w:val="right" w:pos="9072"/>
      </w:tabs>
    </w:pPr>
  </w:style>
  <w:style w:type="character" w:customStyle="1" w:styleId="StopkaZnak">
    <w:name w:val="Stopka Znak"/>
    <w:link w:val="Stopka"/>
    <w:locked/>
    <w:rsid w:val="00DA513E"/>
    <w:rPr>
      <w:rFonts w:ascii="Times New Roman" w:hAnsi="Times New Roman" w:cs="Times New Roman"/>
      <w:sz w:val="24"/>
      <w:szCs w:val="24"/>
      <w:lang w:val="x-none" w:eastAsia="ar-SA" w:bidi="ar-SA"/>
    </w:rPr>
  </w:style>
  <w:style w:type="paragraph" w:styleId="Nagwek">
    <w:name w:val="header"/>
    <w:aliases w:val="h"/>
    <w:basedOn w:val="Normalny"/>
    <w:link w:val="NagwekZnak"/>
    <w:uiPriority w:val="99"/>
    <w:rsid w:val="00DA513E"/>
    <w:pPr>
      <w:tabs>
        <w:tab w:val="center" w:pos="4536"/>
        <w:tab w:val="right" w:pos="9072"/>
      </w:tabs>
    </w:pPr>
  </w:style>
  <w:style w:type="character" w:customStyle="1" w:styleId="NagwekZnak">
    <w:name w:val="Nagłówek Znak"/>
    <w:aliases w:val="h Znak"/>
    <w:link w:val="Nagwek"/>
    <w:locked/>
    <w:rsid w:val="00DA513E"/>
    <w:rPr>
      <w:rFonts w:ascii="Times New Roman" w:hAnsi="Times New Roman" w:cs="Times New Roman"/>
      <w:sz w:val="24"/>
      <w:szCs w:val="24"/>
      <w:lang w:val="x-none" w:eastAsia="ar-SA" w:bidi="ar-SA"/>
    </w:rPr>
  </w:style>
  <w:style w:type="paragraph" w:styleId="Tekstpodstawowywcity2">
    <w:name w:val="Body Text Indent 2"/>
    <w:basedOn w:val="Normalny"/>
    <w:link w:val="Tekstpodstawowywcity2Znak"/>
    <w:rsid w:val="00DA513E"/>
    <w:pPr>
      <w:spacing w:after="120" w:line="480" w:lineRule="auto"/>
      <w:ind w:left="283"/>
    </w:pPr>
  </w:style>
  <w:style w:type="character" w:customStyle="1" w:styleId="Tekstpodstawowywcity2Znak">
    <w:name w:val="Tekst podstawowy wcięty 2 Znak"/>
    <w:link w:val="Tekstpodstawowywcity2"/>
    <w:locked/>
    <w:rsid w:val="00DA513E"/>
    <w:rPr>
      <w:rFonts w:ascii="Times New Roman" w:hAnsi="Times New Roman" w:cs="Times New Roman"/>
      <w:sz w:val="24"/>
      <w:szCs w:val="24"/>
      <w:lang w:val="x-none" w:eastAsia="ar-SA" w:bidi="ar-SA"/>
    </w:rPr>
  </w:style>
  <w:style w:type="character" w:customStyle="1" w:styleId="Teksttreci3">
    <w:name w:val="Tekst treści (3)_"/>
    <w:link w:val="Teksttreci30"/>
    <w:locked/>
    <w:rsid w:val="00DA513E"/>
    <w:rPr>
      <w:rFonts w:cs="Times New Roman"/>
      <w:sz w:val="24"/>
      <w:szCs w:val="24"/>
      <w:shd w:val="clear" w:color="auto" w:fill="FFFFFF"/>
    </w:rPr>
  </w:style>
  <w:style w:type="paragraph" w:customStyle="1" w:styleId="Teksttreci30">
    <w:name w:val="Tekst treści (3)"/>
    <w:basedOn w:val="Normalny"/>
    <w:link w:val="Teksttreci3"/>
    <w:rsid w:val="00DA513E"/>
    <w:pPr>
      <w:shd w:val="clear" w:color="auto" w:fill="FFFFFF"/>
      <w:suppressAutoHyphens w:val="0"/>
      <w:spacing w:after="300" w:line="240" w:lineRule="atLeast"/>
    </w:pPr>
    <w:rPr>
      <w:rFonts w:ascii="Calibri" w:eastAsia="Times New Roman" w:hAnsi="Calibri"/>
      <w:shd w:val="clear" w:color="auto" w:fill="FFFFFF"/>
      <w:lang w:eastAsia="en-US"/>
    </w:rPr>
  </w:style>
  <w:style w:type="character" w:customStyle="1" w:styleId="Teksttreci3Pogrubienie2">
    <w:name w:val="Tekst treści (3) + Pogrubienie2"/>
    <w:rsid w:val="00DA513E"/>
    <w:rPr>
      <w:rFonts w:cs="Times New Roman"/>
      <w:b/>
      <w:bCs/>
      <w:sz w:val="24"/>
      <w:szCs w:val="24"/>
      <w:shd w:val="clear" w:color="auto" w:fill="FFFFFF"/>
    </w:rPr>
  </w:style>
  <w:style w:type="character" w:customStyle="1" w:styleId="Teksttreci">
    <w:name w:val="Tekst treści_"/>
    <w:link w:val="Teksttreci0"/>
    <w:locked/>
    <w:rsid w:val="00DA513E"/>
    <w:rPr>
      <w:rFonts w:ascii="Arial" w:hAnsi="Arial" w:cs="Times New Roman"/>
      <w:sz w:val="19"/>
      <w:szCs w:val="19"/>
      <w:shd w:val="clear" w:color="auto" w:fill="FFFFFF"/>
    </w:rPr>
  </w:style>
  <w:style w:type="paragraph" w:customStyle="1" w:styleId="Teksttreci0">
    <w:name w:val="Tekst treści"/>
    <w:basedOn w:val="Normalny"/>
    <w:link w:val="Teksttreci"/>
    <w:rsid w:val="00DA513E"/>
    <w:pPr>
      <w:shd w:val="clear" w:color="auto" w:fill="FFFFFF"/>
      <w:suppressAutoHyphens w:val="0"/>
      <w:spacing w:before="240" w:after="240" w:line="240" w:lineRule="atLeast"/>
      <w:ind w:hanging="1300"/>
    </w:pPr>
    <w:rPr>
      <w:rFonts w:ascii="Arial" w:eastAsia="Times New Roman" w:hAnsi="Arial"/>
      <w:sz w:val="19"/>
      <w:szCs w:val="19"/>
      <w:shd w:val="clear" w:color="auto" w:fill="FFFFFF"/>
      <w:lang w:eastAsia="en-US"/>
    </w:rPr>
  </w:style>
  <w:style w:type="paragraph" w:styleId="Tekstpodstawowywcity">
    <w:name w:val="Body Text Indent"/>
    <w:basedOn w:val="Normalny"/>
    <w:link w:val="TekstpodstawowywcityZnak"/>
    <w:rsid w:val="00DA513E"/>
    <w:pPr>
      <w:spacing w:after="120"/>
      <w:ind w:left="283"/>
    </w:pPr>
  </w:style>
  <w:style w:type="character" w:customStyle="1" w:styleId="TekstpodstawowywcityZnak">
    <w:name w:val="Tekst podstawowy wcięty Znak"/>
    <w:link w:val="Tekstpodstawowywcity"/>
    <w:locked/>
    <w:rsid w:val="00DA513E"/>
    <w:rPr>
      <w:rFonts w:ascii="Times New Roman" w:hAnsi="Times New Roman" w:cs="Times New Roman"/>
      <w:sz w:val="24"/>
      <w:szCs w:val="24"/>
      <w:lang w:val="x-none" w:eastAsia="ar-SA" w:bidi="ar-SA"/>
    </w:rPr>
  </w:style>
  <w:style w:type="paragraph" w:customStyle="1" w:styleId="NormalnyWyjustowany">
    <w:name w:val="Normalny + Wyjustowany"/>
    <w:aliases w:val="Interlinia:  1,5 wiersza"/>
    <w:basedOn w:val="Normalny"/>
    <w:rsid w:val="00DA513E"/>
    <w:pPr>
      <w:suppressAutoHyphens w:val="0"/>
      <w:spacing w:line="360" w:lineRule="auto"/>
      <w:jc w:val="both"/>
    </w:pPr>
    <w:rPr>
      <w:spacing w:val="10"/>
      <w:lang w:eastAsia="pl-PL"/>
    </w:rPr>
  </w:style>
  <w:style w:type="paragraph" w:customStyle="1" w:styleId="Style22">
    <w:name w:val="Style22"/>
    <w:basedOn w:val="Normalny"/>
    <w:rsid w:val="00DA513E"/>
    <w:pPr>
      <w:widowControl w:val="0"/>
      <w:suppressAutoHyphens w:val="0"/>
      <w:autoSpaceDE w:val="0"/>
      <w:autoSpaceDN w:val="0"/>
      <w:adjustRightInd w:val="0"/>
      <w:spacing w:line="271" w:lineRule="exact"/>
      <w:jc w:val="both"/>
    </w:pPr>
    <w:rPr>
      <w:rFonts w:ascii="Calibri" w:hAnsi="Calibri" w:cs="Calibri"/>
      <w:lang w:eastAsia="pl-PL"/>
    </w:rPr>
  </w:style>
  <w:style w:type="character" w:customStyle="1" w:styleId="FontStyle65">
    <w:name w:val="Font Style65"/>
    <w:rsid w:val="00DA513E"/>
    <w:rPr>
      <w:rFonts w:ascii="Times New Roman" w:hAnsi="Times New Roman" w:cs="Times New Roman"/>
      <w:sz w:val="22"/>
      <w:szCs w:val="22"/>
    </w:rPr>
  </w:style>
  <w:style w:type="paragraph" w:customStyle="1" w:styleId="akapitwciety">
    <w:name w:val="akapit_wciety"/>
    <w:basedOn w:val="Normalny"/>
    <w:rsid w:val="00DA513E"/>
    <w:pPr>
      <w:suppressAutoHyphens w:val="0"/>
      <w:spacing w:after="80"/>
      <w:ind w:firstLine="709"/>
      <w:jc w:val="both"/>
    </w:pPr>
    <w:rPr>
      <w:rFonts w:ascii="Garamond" w:hAnsi="Garamond"/>
      <w:sz w:val="22"/>
      <w:lang w:eastAsia="pl-PL"/>
    </w:rPr>
  </w:style>
  <w:style w:type="paragraph" w:styleId="Tekstpodstawowywcity3">
    <w:name w:val="Body Text Indent 3"/>
    <w:basedOn w:val="Normalny"/>
    <w:link w:val="Tekstpodstawowywcity3Znak"/>
    <w:rsid w:val="00DA513E"/>
    <w:pPr>
      <w:suppressAutoHyphens w:val="0"/>
      <w:spacing w:after="120"/>
      <w:ind w:left="283"/>
    </w:pPr>
    <w:rPr>
      <w:sz w:val="16"/>
      <w:szCs w:val="16"/>
      <w:lang w:eastAsia="pl-PL"/>
    </w:rPr>
  </w:style>
  <w:style w:type="character" w:customStyle="1" w:styleId="Tekstpodstawowywcity3Znak">
    <w:name w:val="Tekst podstawowy wcięty 3 Znak"/>
    <w:link w:val="Tekstpodstawowywcity3"/>
    <w:locked/>
    <w:rsid w:val="00DA513E"/>
    <w:rPr>
      <w:rFonts w:ascii="Times New Roman" w:hAnsi="Times New Roman" w:cs="Times New Roman"/>
      <w:sz w:val="16"/>
      <w:szCs w:val="16"/>
      <w:lang w:val="x-none" w:eastAsia="pl-PL"/>
    </w:rPr>
  </w:style>
  <w:style w:type="paragraph" w:customStyle="1" w:styleId="TekstBaza">
    <w:name w:val="Tekst_Baza"/>
    <w:basedOn w:val="Normalny"/>
    <w:rsid w:val="00DA513E"/>
    <w:pPr>
      <w:suppressAutoHyphens w:val="0"/>
      <w:spacing w:line="360" w:lineRule="auto"/>
      <w:jc w:val="both"/>
    </w:pPr>
    <w:rPr>
      <w:szCs w:val="22"/>
      <w:lang w:eastAsia="en-US"/>
    </w:rPr>
  </w:style>
  <w:style w:type="paragraph" w:styleId="Tekstkomentarza">
    <w:name w:val="annotation text"/>
    <w:basedOn w:val="Normalny"/>
    <w:link w:val="TekstkomentarzaZnak"/>
    <w:uiPriority w:val="99"/>
    <w:qFormat/>
    <w:rsid w:val="00DA513E"/>
    <w:pPr>
      <w:suppressAutoHyphens w:val="0"/>
    </w:pPr>
    <w:rPr>
      <w:sz w:val="20"/>
      <w:szCs w:val="20"/>
      <w:lang w:eastAsia="pl-PL"/>
    </w:rPr>
  </w:style>
  <w:style w:type="character" w:customStyle="1" w:styleId="TekstkomentarzaZnak">
    <w:name w:val="Tekst komentarza Znak"/>
    <w:link w:val="Tekstkomentarza"/>
    <w:uiPriority w:val="99"/>
    <w:qFormat/>
    <w:locked/>
    <w:rsid w:val="00DA513E"/>
    <w:rPr>
      <w:rFonts w:ascii="Times New Roman" w:hAnsi="Times New Roman" w:cs="Times New Roman"/>
      <w:sz w:val="20"/>
      <w:szCs w:val="20"/>
      <w:lang w:val="x-none" w:eastAsia="pl-PL"/>
    </w:rPr>
  </w:style>
  <w:style w:type="paragraph" w:customStyle="1" w:styleId="msolistparagraph0">
    <w:name w:val="msolistparagraph"/>
    <w:basedOn w:val="Normalny"/>
    <w:uiPriority w:val="99"/>
    <w:rsid w:val="00DA513E"/>
    <w:pPr>
      <w:suppressAutoHyphens w:val="0"/>
      <w:ind w:left="720"/>
    </w:pPr>
    <w:rPr>
      <w:rFonts w:ascii="Calibri" w:hAnsi="Calibri"/>
      <w:sz w:val="22"/>
      <w:szCs w:val="22"/>
      <w:lang w:eastAsia="pl-PL"/>
    </w:rPr>
  </w:style>
  <w:style w:type="character" w:customStyle="1" w:styleId="txt-new">
    <w:name w:val="txt-new"/>
    <w:rsid w:val="00601089"/>
    <w:rPr>
      <w:rFonts w:cs="Times New Roman"/>
    </w:rPr>
  </w:style>
  <w:style w:type="paragraph" w:customStyle="1" w:styleId="Default">
    <w:name w:val="Default"/>
    <w:rsid w:val="00B84AAE"/>
    <w:pPr>
      <w:autoSpaceDE w:val="0"/>
      <w:autoSpaceDN w:val="0"/>
      <w:adjustRightInd w:val="0"/>
    </w:pPr>
    <w:rPr>
      <w:rFonts w:ascii="EUAlbertina" w:hAnsi="EUAlbertina" w:cs="EUAlbertina"/>
      <w:color w:val="000000"/>
      <w:sz w:val="24"/>
      <w:szCs w:val="24"/>
    </w:rPr>
  </w:style>
  <w:style w:type="character" w:styleId="Hipercze">
    <w:name w:val="Hyperlink"/>
    <w:uiPriority w:val="99"/>
    <w:rsid w:val="00AB1A50"/>
    <w:rPr>
      <w:rFonts w:cs="Times New Roman"/>
      <w:color w:val="0000FF"/>
      <w:u w:val="single"/>
    </w:rPr>
  </w:style>
  <w:style w:type="paragraph" w:styleId="Mapadokumentu">
    <w:name w:val="Document Map"/>
    <w:basedOn w:val="Normalny"/>
    <w:semiHidden/>
    <w:rsid w:val="00FD299D"/>
    <w:pPr>
      <w:shd w:val="clear" w:color="auto" w:fill="000080"/>
    </w:pPr>
    <w:rPr>
      <w:rFonts w:ascii="Tahoma" w:hAnsi="Tahoma" w:cs="Tahoma"/>
      <w:sz w:val="20"/>
      <w:szCs w:val="20"/>
    </w:rPr>
  </w:style>
  <w:style w:type="paragraph" w:styleId="Tekstprzypisukocowego">
    <w:name w:val="endnote text"/>
    <w:basedOn w:val="Normalny"/>
    <w:link w:val="TekstprzypisukocowegoZnak"/>
    <w:rsid w:val="00D93144"/>
    <w:rPr>
      <w:sz w:val="20"/>
      <w:szCs w:val="20"/>
    </w:rPr>
  </w:style>
  <w:style w:type="character" w:customStyle="1" w:styleId="TekstprzypisukocowegoZnak">
    <w:name w:val="Tekst przypisu końcowego Znak"/>
    <w:link w:val="Tekstprzypisukocowego"/>
    <w:rsid w:val="00D93144"/>
    <w:rPr>
      <w:rFonts w:ascii="Times New Roman" w:hAnsi="Times New Roman"/>
      <w:lang w:eastAsia="ar-SA"/>
    </w:rPr>
  </w:style>
  <w:style w:type="character" w:styleId="Odwoanieprzypisukocowego">
    <w:name w:val="endnote reference"/>
    <w:uiPriority w:val="99"/>
    <w:rsid w:val="00D93144"/>
    <w:rPr>
      <w:vertAlign w:val="superscript"/>
    </w:rPr>
  </w:style>
  <w:style w:type="paragraph" w:styleId="Akapitzlist">
    <w:name w:val="List Paragraph"/>
    <w:basedOn w:val="Normalny"/>
    <w:link w:val="AkapitzlistZnak"/>
    <w:uiPriority w:val="34"/>
    <w:qFormat/>
    <w:rsid w:val="00FE1DC9"/>
    <w:pPr>
      <w:suppressAutoHyphens w:val="0"/>
      <w:ind w:left="708"/>
    </w:pPr>
    <w:rPr>
      <w:rFonts w:eastAsia="Times New Roman"/>
      <w:sz w:val="20"/>
      <w:szCs w:val="20"/>
      <w:lang w:eastAsia="pl-PL"/>
    </w:rPr>
  </w:style>
  <w:style w:type="paragraph" w:styleId="Tekstprzypisudolnego">
    <w:name w:val="footnote text"/>
    <w:basedOn w:val="Normalny"/>
    <w:link w:val="TekstprzypisudolnegoZnak"/>
    <w:uiPriority w:val="99"/>
    <w:unhideWhenUsed/>
    <w:rsid w:val="00FE1DC9"/>
    <w:pPr>
      <w:suppressAutoHyphens w:val="0"/>
    </w:pPr>
    <w:rPr>
      <w:rFonts w:ascii="Calibri" w:hAnsi="Calibri"/>
      <w:sz w:val="20"/>
      <w:szCs w:val="20"/>
      <w:lang w:eastAsia="en-US"/>
    </w:rPr>
  </w:style>
  <w:style w:type="character" w:customStyle="1" w:styleId="TekstprzypisudolnegoZnak">
    <w:name w:val="Tekst przypisu dolnego Znak"/>
    <w:link w:val="Tekstprzypisudolnego"/>
    <w:uiPriority w:val="99"/>
    <w:rsid w:val="00FE1DC9"/>
    <w:rPr>
      <w:lang w:eastAsia="en-US"/>
    </w:rPr>
  </w:style>
  <w:style w:type="character" w:styleId="Odwoanieprzypisudolnego">
    <w:name w:val="footnote reference"/>
    <w:uiPriority w:val="99"/>
    <w:unhideWhenUsed/>
    <w:rsid w:val="00FE1DC9"/>
    <w:rPr>
      <w:vertAlign w:val="superscript"/>
    </w:rPr>
  </w:style>
  <w:style w:type="paragraph" w:customStyle="1" w:styleId="LITlitera">
    <w:name w:val="LIT – litera"/>
    <w:basedOn w:val="Normalny"/>
    <w:uiPriority w:val="17"/>
    <w:qFormat/>
    <w:rsid w:val="005F2D1C"/>
    <w:pPr>
      <w:suppressAutoHyphens w:val="0"/>
      <w:spacing w:line="360" w:lineRule="auto"/>
      <w:ind w:left="986" w:hanging="476"/>
      <w:jc w:val="both"/>
    </w:pPr>
    <w:rPr>
      <w:rFonts w:ascii="Times" w:eastAsia="Times New Roman" w:hAnsi="Times" w:cs="Arial"/>
      <w:bCs/>
      <w:szCs w:val="20"/>
      <w:lang w:eastAsia="pl-PL"/>
    </w:rPr>
  </w:style>
  <w:style w:type="character" w:customStyle="1" w:styleId="alb">
    <w:name w:val="a_lb"/>
    <w:basedOn w:val="Domylnaczcionkaakapitu"/>
    <w:rsid w:val="00AB6529"/>
  </w:style>
  <w:style w:type="paragraph" w:styleId="Bezodstpw">
    <w:name w:val="No Spacing"/>
    <w:link w:val="BezodstpwZnak"/>
    <w:uiPriority w:val="1"/>
    <w:qFormat/>
    <w:rsid w:val="001D44B7"/>
    <w:rPr>
      <w:sz w:val="22"/>
      <w:szCs w:val="22"/>
      <w:lang w:eastAsia="en-US"/>
    </w:rPr>
  </w:style>
  <w:style w:type="paragraph" w:customStyle="1" w:styleId="Akapitzlist1">
    <w:name w:val="Akapit z listą1"/>
    <w:basedOn w:val="Normalny"/>
    <w:rsid w:val="001D44B7"/>
    <w:pPr>
      <w:spacing w:after="200" w:line="276" w:lineRule="auto"/>
      <w:ind w:left="720"/>
      <w:jc w:val="both"/>
    </w:pPr>
    <w:rPr>
      <w:rFonts w:ascii="Arial" w:eastAsia="SimSun" w:hAnsi="Arial" w:cs="font188"/>
      <w:sz w:val="22"/>
      <w:szCs w:val="22"/>
      <w:lang w:val="en-GB"/>
    </w:rPr>
  </w:style>
  <w:style w:type="character" w:customStyle="1" w:styleId="Odwoaniedokomentarza1">
    <w:name w:val="Odwołanie do komentarza1"/>
    <w:rsid w:val="00CD17EC"/>
    <w:rPr>
      <w:sz w:val="16"/>
      <w:szCs w:val="16"/>
    </w:rPr>
  </w:style>
  <w:style w:type="paragraph" w:styleId="NormalnyWeb">
    <w:name w:val="Normal (Web)"/>
    <w:basedOn w:val="Normalny"/>
    <w:uiPriority w:val="99"/>
    <w:unhideWhenUsed/>
    <w:rsid w:val="00051A9F"/>
    <w:pPr>
      <w:suppressAutoHyphens w:val="0"/>
      <w:spacing w:before="100" w:beforeAutospacing="1" w:after="100" w:afterAutospacing="1"/>
    </w:pPr>
    <w:rPr>
      <w:rFonts w:eastAsia="Times New Roman"/>
      <w:lang w:val="en-US" w:eastAsia="en-US"/>
    </w:rPr>
  </w:style>
  <w:style w:type="character" w:customStyle="1" w:styleId="BezodstpwZnak">
    <w:name w:val="Bez odstępów Znak"/>
    <w:basedOn w:val="Domylnaczcionkaakapitu"/>
    <w:link w:val="Bezodstpw"/>
    <w:uiPriority w:val="1"/>
    <w:rsid w:val="00051A9F"/>
    <w:rPr>
      <w:sz w:val="22"/>
      <w:szCs w:val="22"/>
      <w:lang w:eastAsia="en-US"/>
    </w:rPr>
  </w:style>
  <w:style w:type="paragraph" w:customStyle="1" w:styleId="Paragraf">
    <w:name w:val="Paragraf"/>
    <w:basedOn w:val="Normalny"/>
    <w:link w:val="ParagrafZnak"/>
    <w:qFormat/>
    <w:rsid w:val="00051A9F"/>
    <w:pPr>
      <w:suppressAutoHyphens w:val="0"/>
      <w:ind w:left="708"/>
      <w:jc w:val="both"/>
    </w:pPr>
    <w:rPr>
      <w:rFonts w:ascii="Calibri" w:eastAsia="Times New Roman" w:hAnsi="Calibri" w:cs="Calibri"/>
      <w:i/>
      <w:sz w:val="22"/>
      <w:lang w:eastAsia="pl-PL"/>
    </w:rPr>
  </w:style>
  <w:style w:type="character" w:customStyle="1" w:styleId="ParagrafZnak">
    <w:name w:val="Paragraf Znak"/>
    <w:basedOn w:val="Domylnaczcionkaakapitu"/>
    <w:link w:val="Paragraf"/>
    <w:rsid w:val="00051A9F"/>
    <w:rPr>
      <w:rFonts w:eastAsia="Times New Roman" w:cs="Calibri"/>
      <w:i/>
      <w:sz w:val="22"/>
      <w:szCs w:val="24"/>
    </w:rPr>
  </w:style>
  <w:style w:type="paragraph" w:customStyle="1" w:styleId="TEKST">
    <w:name w:val="TEKST"/>
    <w:basedOn w:val="Normalny"/>
    <w:link w:val="TEKSTZnak"/>
    <w:qFormat/>
    <w:rsid w:val="00051A9F"/>
    <w:pPr>
      <w:suppressAutoHyphens w:val="0"/>
      <w:ind w:left="284"/>
      <w:jc w:val="both"/>
    </w:pPr>
    <w:rPr>
      <w:rFonts w:ascii="Calibri" w:eastAsia="Times New Roman" w:hAnsi="Calibri"/>
      <w:sz w:val="22"/>
      <w:lang w:eastAsia="pl-PL"/>
    </w:rPr>
  </w:style>
  <w:style w:type="character" w:customStyle="1" w:styleId="TEKSTZnak">
    <w:name w:val="TEKST Znak"/>
    <w:basedOn w:val="Domylnaczcionkaakapitu"/>
    <w:link w:val="TEKST"/>
    <w:rsid w:val="00051A9F"/>
    <w:rPr>
      <w:rFonts w:eastAsia="Times New Roman"/>
      <w:sz w:val="22"/>
      <w:szCs w:val="24"/>
    </w:rPr>
  </w:style>
  <w:style w:type="character" w:customStyle="1" w:styleId="Nagwek2">
    <w:name w:val="Nagłówek #2_"/>
    <w:link w:val="Nagwek20"/>
    <w:rsid w:val="00BC53BA"/>
    <w:rPr>
      <w:rFonts w:ascii="Times New Roman" w:eastAsia="Times New Roman" w:hAnsi="Times New Roman"/>
      <w:b/>
      <w:bCs/>
      <w:shd w:val="clear" w:color="auto" w:fill="FFFFFF"/>
    </w:rPr>
  </w:style>
  <w:style w:type="paragraph" w:customStyle="1" w:styleId="Nagwek20">
    <w:name w:val="Nagłówek #2"/>
    <w:basedOn w:val="Normalny"/>
    <w:link w:val="Nagwek2"/>
    <w:rsid w:val="00BC53BA"/>
    <w:pPr>
      <w:widowControl w:val="0"/>
      <w:shd w:val="clear" w:color="auto" w:fill="FFFFFF"/>
      <w:suppressAutoHyphens w:val="0"/>
      <w:spacing w:before="1380" w:line="274" w:lineRule="exact"/>
      <w:outlineLvl w:val="1"/>
    </w:pPr>
    <w:rPr>
      <w:rFonts w:eastAsia="Times New Roman"/>
      <w:b/>
      <w:bCs/>
      <w:sz w:val="20"/>
      <w:szCs w:val="20"/>
      <w:lang w:eastAsia="pl-PL"/>
    </w:rPr>
  </w:style>
  <w:style w:type="character" w:styleId="Odwoaniedokomentarza">
    <w:name w:val="annotation reference"/>
    <w:basedOn w:val="Domylnaczcionkaakapitu"/>
    <w:uiPriority w:val="99"/>
    <w:rsid w:val="009D1666"/>
    <w:rPr>
      <w:sz w:val="16"/>
      <w:szCs w:val="16"/>
    </w:rPr>
  </w:style>
  <w:style w:type="paragraph" w:styleId="Tematkomentarza">
    <w:name w:val="annotation subject"/>
    <w:basedOn w:val="Tekstkomentarza"/>
    <w:next w:val="Tekstkomentarza"/>
    <w:link w:val="TematkomentarzaZnak"/>
    <w:rsid w:val="009D1666"/>
    <w:pPr>
      <w:suppressAutoHyphens/>
    </w:pPr>
    <w:rPr>
      <w:b/>
      <w:bCs/>
      <w:lang w:eastAsia="ar-SA"/>
    </w:rPr>
  </w:style>
  <w:style w:type="character" w:customStyle="1" w:styleId="TematkomentarzaZnak">
    <w:name w:val="Temat komentarza Znak"/>
    <w:basedOn w:val="TekstkomentarzaZnak"/>
    <w:link w:val="Tematkomentarza"/>
    <w:rsid w:val="009D1666"/>
    <w:rPr>
      <w:rFonts w:ascii="Times New Roman" w:hAnsi="Times New Roman" w:cs="Times New Roman"/>
      <w:b/>
      <w:bCs/>
      <w:sz w:val="20"/>
      <w:szCs w:val="20"/>
      <w:lang w:val="x-none" w:eastAsia="ar-SA"/>
    </w:rPr>
  </w:style>
  <w:style w:type="paragraph" w:styleId="Tekstdymka">
    <w:name w:val="Balloon Text"/>
    <w:basedOn w:val="Normalny"/>
    <w:link w:val="TekstdymkaZnak"/>
    <w:rsid w:val="009D1666"/>
    <w:rPr>
      <w:rFonts w:ascii="Segoe UI" w:hAnsi="Segoe UI" w:cs="Segoe UI"/>
      <w:sz w:val="18"/>
      <w:szCs w:val="18"/>
    </w:rPr>
  </w:style>
  <w:style w:type="character" w:customStyle="1" w:styleId="TekstdymkaZnak">
    <w:name w:val="Tekst dymka Znak"/>
    <w:basedOn w:val="Domylnaczcionkaakapitu"/>
    <w:link w:val="Tekstdymka"/>
    <w:rsid w:val="009D1666"/>
    <w:rPr>
      <w:rFonts w:ascii="Segoe UI" w:hAnsi="Segoe UI" w:cs="Segoe UI"/>
      <w:sz w:val="18"/>
      <w:szCs w:val="18"/>
      <w:lang w:eastAsia="ar-SA"/>
    </w:rPr>
  </w:style>
  <w:style w:type="character" w:customStyle="1" w:styleId="null1">
    <w:name w:val="null1"/>
    <w:basedOn w:val="Domylnaczcionkaakapitu"/>
    <w:rsid w:val="002C7E3C"/>
  </w:style>
  <w:style w:type="paragraph" w:customStyle="1" w:styleId="ZLITUSTzmustliter">
    <w:name w:val="Z_LIT/UST(§) – zm. ust. (§) literą"/>
    <w:basedOn w:val="Normalny"/>
    <w:uiPriority w:val="46"/>
    <w:qFormat/>
    <w:rsid w:val="007D6440"/>
    <w:pPr>
      <w:autoSpaceDE w:val="0"/>
      <w:autoSpaceDN w:val="0"/>
      <w:adjustRightInd w:val="0"/>
      <w:spacing w:line="360" w:lineRule="auto"/>
      <w:ind w:left="987" w:firstLine="510"/>
      <w:jc w:val="both"/>
    </w:pPr>
    <w:rPr>
      <w:rFonts w:ascii="Times" w:eastAsiaTheme="minorEastAsia" w:hAnsi="Times" w:cs="Arial"/>
      <w:bCs/>
      <w:szCs w:val="20"/>
      <w:lang w:eastAsia="pl-PL"/>
    </w:rPr>
  </w:style>
  <w:style w:type="paragraph" w:customStyle="1" w:styleId="ZUSTzmustartykuempunktem">
    <w:name w:val="Z/UST(§) – zm. ust. (§) artykułem (punktem)"/>
    <w:basedOn w:val="Normalny"/>
    <w:uiPriority w:val="30"/>
    <w:qFormat/>
    <w:rsid w:val="007D6440"/>
    <w:pPr>
      <w:autoSpaceDE w:val="0"/>
      <w:autoSpaceDN w:val="0"/>
      <w:adjustRightInd w:val="0"/>
      <w:spacing w:line="360" w:lineRule="auto"/>
      <w:ind w:left="510" w:firstLine="510"/>
      <w:jc w:val="both"/>
    </w:pPr>
    <w:rPr>
      <w:rFonts w:ascii="Times" w:eastAsiaTheme="minorEastAsia" w:hAnsi="Times" w:cs="Arial"/>
      <w:szCs w:val="20"/>
      <w:lang w:eastAsia="pl-PL"/>
    </w:rPr>
  </w:style>
  <w:style w:type="character" w:customStyle="1" w:styleId="alb-s">
    <w:name w:val="a_lb-s"/>
    <w:basedOn w:val="Domylnaczcionkaakapitu"/>
    <w:rsid w:val="00455FD9"/>
  </w:style>
  <w:style w:type="character" w:customStyle="1" w:styleId="NagwekZnak1">
    <w:name w:val="Nagłówek Znak1"/>
    <w:aliases w:val="h Znak1"/>
    <w:basedOn w:val="Domylnaczcionkaakapitu"/>
    <w:uiPriority w:val="99"/>
    <w:semiHidden/>
    <w:locked/>
    <w:rsid w:val="002C19F5"/>
    <w:rPr>
      <w:rFonts w:eastAsiaTheme="minorHAnsi" w:cs="Calibri"/>
      <w:sz w:val="24"/>
      <w:szCs w:val="24"/>
    </w:rPr>
  </w:style>
  <w:style w:type="character" w:customStyle="1" w:styleId="normaltextrun">
    <w:name w:val="normaltextrun"/>
    <w:basedOn w:val="Domylnaczcionkaakapitu"/>
    <w:rsid w:val="00FB61B6"/>
  </w:style>
  <w:style w:type="paragraph" w:styleId="Poprawka">
    <w:name w:val="Revision"/>
    <w:hidden/>
    <w:uiPriority w:val="99"/>
    <w:semiHidden/>
    <w:rsid w:val="00F75A62"/>
    <w:rPr>
      <w:rFonts w:ascii="Times New Roman" w:hAnsi="Times New Roman"/>
      <w:sz w:val="24"/>
      <w:szCs w:val="24"/>
      <w:lang w:eastAsia="ar-SA"/>
    </w:rPr>
  </w:style>
  <w:style w:type="table" w:styleId="Tabela-Siatka">
    <w:name w:val="Table Grid"/>
    <w:basedOn w:val="Standardowy"/>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eop">
    <w:name w:val="eop"/>
    <w:basedOn w:val="Domylnaczcionkaakapitu"/>
    <w:rsid w:val="006A14E1"/>
  </w:style>
  <w:style w:type="character" w:customStyle="1" w:styleId="findhit">
    <w:name w:val="findhit"/>
    <w:basedOn w:val="Domylnaczcionkaakapitu"/>
    <w:rsid w:val="006A14E1"/>
  </w:style>
  <w:style w:type="character" w:customStyle="1" w:styleId="AkapitzlistZnak">
    <w:name w:val="Akapit z listą Znak"/>
    <w:link w:val="Akapitzlist"/>
    <w:uiPriority w:val="34"/>
    <w:rsid w:val="00495BCA"/>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134641">
      <w:bodyDiv w:val="1"/>
      <w:marLeft w:val="0"/>
      <w:marRight w:val="0"/>
      <w:marTop w:val="0"/>
      <w:marBottom w:val="0"/>
      <w:divBdr>
        <w:top w:val="none" w:sz="0" w:space="0" w:color="auto"/>
        <w:left w:val="none" w:sz="0" w:space="0" w:color="auto"/>
        <w:bottom w:val="none" w:sz="0" w:space="0" w:color="auto"/>
        <w:right w:val="none" w:sz="0" w:space="0" w:color="auto"/>
      </w:divBdr>
    </w:div>
    <w:div w:id="689841861">
      <w:bodyDiv w:val="1"/>
      <w:marLeft w:val="0"/>
      <w:marRight w:val="0"/>
      <w:marTop w:val="0"/>
      <w:marBottom w:val="0"/>
      <w:divBdr>
        <w:top w:val="none" w:sz="0" w:space="0" w:color="auto"/>
        <w:left w:val="none" w:sz="0" w:space="0" w:color="auto"/>
        <w:bottom w:val="none" w:sz="0" w:space="0" w:color="auto"/>
        <w:right w:val="none" w:sz="0" w:space="0" w:color="auto"/>
      </w:divBdr>
    </w:div>
    <w:div w:id="725764840">
      <w:bodyDiv w:val="1"/>
      <w:marLeft w:val="0"/>
      <w:marRight w:val="0"/>
      <w:marTop w:val="0"/>
      <w:marBottom w:val="0"/>
      <w:divBdr>
        <w:top w:val="none" w:sz="0" w:space="0" w:color="auto"/>
        <w:left w:val="none" w:sz="0" w:space="0" w:color="auto"/>
        <w:bottom w:val="none" w:sz="0" w:space="0" w:color="auto"/>
        <w:right w:val="none" w:sz="0" w:space="0" w:color="auto"/>
      </w:divBdr>
      <w:divsChild>
        <w:div w:id="500513517">
          <w:marLeft w:val="0"/>
          <w:marRight w:val="0"/>
          <w:marTop w:val="0"/>
          <w:marBottom w:val="0"/>
          <w:divBdr>
            <w:top w:val="none" w:sz="0" w:space="0" w:color="auto"/>
            <w:left w:val="none" w:sz="0" w:space="0" w:color="auto"/>
            <w:bottom w:val="none" w:sz="0" w:space="0" w:color="auto"/>
            <w:right w:val="none" w:sz="0" w:space="0" w:color="auto"/>
          </w:divBdr>
        </w:div>
        <w:div w:id="766078249">
          <w:marLeft w:val="0"/>
          <w:marRight w:val="0"/>
          <w:marTop w:val="0"/>
          <w:marBottom w:val="0"/>
          <w:divBdr>
            <w:top w:val="none" w:sz="0" w:space="0" w:color="auto"/>
            <w:left w:val="none" w:sz="0" w:space="0" w:color="auto"/>
            <w:bottom w:val="none" w:sz="0" w:space="0" w:color="auto"/>
            <w:right w:val="none" w:sz="0" w:space="0" w:color="auto"/>
          </w:divBdr>
        </w:div>
        <w:div w:id="1698698779">
          <w:marLeft w:val="0"/>
          <w:marRight w:val="0"/>
          <w:marTop w:val="0"/>
          <w:marBottom w:val="0"/>
          <w:divBdr>
            <w:top w:val="none" w:sz="0" w:space="0" w:color="auto"/>
            <w:left w:val="none" w:sz="0" w:space="0" w:color="auto"/>
            <w:bottom w:val="none" w:sz="0" w:space="0" w:color="auto"/>
            <w:right w:val="none" w:sz="0" w:space="0" w:color="auto"/>
          </w:divBdr>
        </w:div>
      </w:divsChild>
    </w:div>
    <w:div w:id="773861552">
      <w:bodyDiv w:val="1"/>
      <w:marLeft w:val="0"/>
      <w:marRight w:val="0"/>
      <w:marTop w:val="0"/>
      <w:marBottom w:val="0"/>
      <w:divBdr>
        <w:top w:val="none" w:sz="0" w:space="0" w:color="auto"/>
        <w:left w:val="none" w:sz="0" w:space="0" w:color="auto"/>
        <w:bottom w:val="none" w:sz="0" w:space="0" w:color="auto"/>
        <w:right w:val="none" w:sz="0" w:space="0" w:color="auto"/>
      </w:divBdr>
      <w:divsChild>
        <w:div w:id="1363094454">
          <w:marLeft w:val="0"/>
          <w:marRight w:val="0"/>
          <w:marTop w:val="105"/>
          <w:marBottom w:val="0"/>
          <w:divBdr>
            <w:top w:val="none" w:sz="0" w:space="0" w:color="auto"/>
            <w:left w:val="none" w:sz="0" w:space="0" w:color="auto"/>
            <w:bottom w:val="none" w:sz="0" w:space="0" w:color="auto"/>
            <w:right w:val="none" w:sz="0" w:space="0" w:color="auto"/>
          </w:divBdr>
        </w:div>
        <w:div w:id="27341521">
          <w:marLeft w:val="0"/>
          <w:marRight w:val="0"/>
          <w:marTop w:val="105"/>
          <w:marBottom w:val="0"/>
          <w:divBdr>
            <w:top w:val="none" w:sz="0" w:space="0" w:color="auto"/>
            <w:left w:val="none" w:sz="0" w:space="0" w:color="auto"/>
            <w:bottom w:val="none" w:sz="0" w:space="0" w:color="auto"/>
            <w:right w:val="none" w:sz="0" w:space="0" w:color="auto"/>
          </w:divBdr>
        </w:div>
        <w:div w:id="1222911224">
          <w:marLeft w:val="0"/>
          <w:marRight w:val="0"/>
          <w:marTop w:val="0"/>
          <w:marBottom w:val="0"/>
          <w:divBdr>
            <w:top w:val="none" w:sz="0" w:space="0" w:color="auto"/>
            <w:left w:val="none" w:sz="0" w:space="0" w:color="auto"/>
            <w:bottom w:val="none" w:sz="0" w:space="0" w:color="auto"/>
            <w:right w:val="none" w:sz="0" w:space="0" w:color="auto"/>
          </w:divBdr>
          <w:divsChild>
            <w:div w:id="165636612">
              <w:marLeft w:val="255"/>
              <w:marRight w:val="0"/>
              <w:marTop w:val="0"/>
              <w:marBottom w:val="0"/>
              <w:divBdr>
                <w:top w:val="none" w:sz="0" w:space="0" w:color="auto"/>
                <w:left w:val="none" w:sz="0" w:space="0" w:color="auto"/>
                <w:bottom w:val="none" w:sz="0" w:space="0" w:color="auto"/>
                <w:right w:val="none" w:sz="0" w:space="0" w:color="auto"/>
              </w:divBdr>
            </w:div>
          </w:divsChild>
        </w:div>
        <w:div w:id="662977982">
          <w:marLeft w:val="0"/>
          <w:marRight w:val="0"/>
          <w:marTop w:val="0"/>
          <w:marBottom w:val="0"/>
          <w:divBdr>
            <w:top w:val="none" w:sz="0" w:space="0" w:color="auto"/>
            <w:left w:val="none" w:sz="0" w:space="0" w:color="auto"/>
            <w:bottom w:val="none" w:sz="0" w:space="0" w:color="auto"/>
            <w:right w:val="none" w:sz="0" w:space="0" w:color="auto"/>
          </w:divBdr>
          <w:divsChild>
            <w:div w:id="161587032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820536133">
      <w:bodyDiv w:val="1"/>
      <w:marLeft w:val="0"/>
      <w:marRight w:val="0"/>
      <w:marTop w:val="0"/>
      <w:marBottom w:val="0"/>
      <w:divBdr>
        <w:top w:val="none" w:sz="0" w:space="0" w:color="auto"/>
        <w:left w:val="none" w:sz="0" w:space="0" w:color="auto"/>
        <w:bottom w:val="none" w:sz="0" w:space="0" w:color="auto"/>
        <w:right w:val="none" w:sz="0" w:space="0" w:color="auto"/>
      </w:divBdr>
    </w:div>
    <w:div w:id="823935185">
      <w:bodyDiv w:val="1"/>
      <w:marLeft w:val="0"/>
      <w:marRight w:val="0"/>
      <w:marTop w:val="0"/>
      <w:marBottom w:val="0"/>
      <w:divBdr>
        <w:top w:val="none" w:sz="0" w:space="0" w:color="auto"/>
        <w:left w:val="none" w:sz="0" w:space="0" w:color="auto"/>
        <w:bottom w:val="none" w:sz="0" w:space="0" w:color="auto"/>
        <w:right w:val="none" w:sz="0" w:space="0" w:color="auto"/>
      </w:divBdr>
    </w:div>
    <w:div w:id="866799155">
      <w:bodyDiv w:val="1"/>
      <w:marLeft w:val="0"/>
      <w:marRight w:val="0"/>
      <w:marTop w:val="0"/>
      <w:marBottom w:val="0"/>
      <w:divBdr>
        <w:top w:val="none" w:sz="0" w:space="0" w:color="auto"/>
        <w:left w:val="none" w:sz="0" w:space="0" w:color="auto"/>
        <w:bottom w:val="none" w:sz="0" w:space="0" w:color="auto"/>
        <w:right w:val="none" w:sz="0" w:space="0" w:color="auto"/>
      </w:divBdr>
      <w:divsChild>
        <w:div w:id="881750549">
          <w:marLeft w:val="0"/>
          <w:marRight w:val="0"/>
          <w:marTop w:val="0"/>
          <w:marBottom w:val="0"/>
          <w:divBdr>
            <w:top w:val="none" w:sz="0" w:space="0" w:color="auto"/>
            <w:left w:val="none" w:sz="0" w:space="0" w:color="auto"/>
            <w:bottom w:val="none" w:sz="0" w:space="0" w:color="auto"/>
            <w:right w:val="none" w:sz="0" w:space="0" w:color="auto"/>
          </w:divBdr>
          <w:divsChild>
            <w:div w:id="1905532274">
              <w:marLeft w:val="0"/>
              <w:marRight w:val="0"/>
              <w:marTop w:val="0"/>
              <w:marBottom w:val="0"/>
              <w:divBdr>
                <w:top w:val="none" w:sz="0" w:space="0" w:color="auto"/>
                <w:left w:val="none" w:sz="0" w:space="0" w:color="auto"/>
                <w:bottom w:val="none" w:sz="0" w:space="0" w:color="auto"/>
                <w:right w:val="none" w:sz="0" w:space="0" w:color="auto"/>
              </w:divBdr>
              <w:divsChild>
                <w:div w:id="1644505477">
                  <w:marLeft w:val="0"/>
                  <w:marRight w:val="0"/>
                  <w:marTop w:val="0"/>
                  <w:marBottom w:val="0"/>
                  <w:divBdr>
                    <w:top w:val="none" w:sz="0" w:space="0" w:color="auto"/>
                    <w:left w:val="none" w:sz="0" w:space="0" w:color="auto"/>
                    <w:bottom w:val="none" w:sz="0" w:space="0" w:color="auto"/>
                    <w:right w:val="none" w:sz="0" w:space="0" w:color="auto"/>
                  </w:divBdr>
                  <w:divsChild>
                    <w:div w:id="1666712095">
                      <w:marLeft w:val="0"/>
                      <w:marRight w:val="0"/>
                      <w:marTop w:val="0"/>
                      <w:marBottom w:val="0"/>
                      <w:divBdr>
                        <w:top w:val="none" w:sz="0" w:space="0" w:color="auto"/>
                        <w:left w:val="none" w:sz="0" w:space="0" w:color="auto"/>
                        <w:bottom w:val="none" w:sz="0" w:space="0" w:color="auto"/>
                        <w:right w:val="none" w:sz="0" w:space="0" w:color="auto"/>
                      </w:divBdr>
                      <w:divsChild>
                        <w:div w:id="1036079879">
                          <w:marLeft w:val="0"/>
                          <w:marRight w:val="0"/>
                          <w:marTop w:val="0"/>
                          <w:marBottom w:val="0"/>
                          <w:divBdr>
                            <w:top w:val="none" w:sz="0" w:space="0" w:color="auto"/>
                            <w:left w:val="none" w:sz="0" w:space="0" w:color="auto"/>
                            <w:bottom w:val="none" w:sz="0" w:space="0" w:color="auto"/>
                            <w:right w:val="none" w:sz="0" w:space="0" w:color="auto"/>
                          </w:divBdr>
                          <w:divsChild>
                            <w:div w:id="1408113928">
                              <w:marLeft w:val="0"/>
                              <w:marRight w:val="0"/>
                              <w:marTop w:val="0"/>
                              <w:marBottom w:val="0"/>
                              <w:divBdr>
                                <w:top w:val="none" w:sz="0" w:space="0" w:color="auto"/>
                                <w:left w:val="none" w:sz="0" w:space="0" w:color="auto"/>
                                <w:bottom w:val="none" w:sz="0" w:space="0" w:color="auto"/>
                                <w:right w:val="none" w:sz="0" w:space="0" w:color="auto"/>
                              </w:divBdr>
                              <w:divsChild>
                                <w:div w:id="1526745706">
                                  <w:marLeft w:val="0"/>
                                  <w:marRight w:val="0"/>
                                  <w:marTop w:val="0"/>
                                  <w:marBottom w:val="0"/>
                                  <w:divBdr>
                                    <w:top w:val="none" w:sz="0" w:space="0" w:color="auto"/>
                                    <w:left w:val="none" w:sz="0" w:space="0" w:color="auto"/>
                                    <w:bottom w:val="none" w:sz="0" w:space="0" w:color="auto"/>
                                    <w:right w:val="none" w:sz="0" w:space="0" w:color="auto"/>
                                  </w:divBdr>
                                </w:div>
                              </w:divsChild>
                            </w:div>
                            <w:div w:id="1623685254">
                              <w:marLeft w:val="0"/>
                              <w:marRight w:val="0"/>
                              <w:marTop w:val="0"/>
                              <w:marBottom w:val="0"/>
                              <w:divBdr>
                                <w:top w:val="none" w:sz="0" w:space="0" w:color="auto"/>
                                <w:left w:val="none" w:sz="0" w:space="0" w:color="auto"/>
                                <w:bottom w:val="none" w:sz="0" w:space="0" w:color="auto"/>
                                <w:right w:val="none" w:sz="0" w:space="0" w:color="auto"/>
                              </w:divBdr>
                              <w:divsChild>
                                <w:div w:id="169889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6429832">
      <w:bodyDiv w:val="1"/>
      <w:marLeft w:val="0"/>
      <w:marRight w:val="0"/>
      <w:marTop w:val="0"/>
      <w:marBottom w:val="0"/>
      <w:divBdr>
        <w:top w:val="none" w:sz="0" w:space="0" w:color="auto"/>
        <w:left w:val="none" w:sz="0" w:space="0" w:color="auto"/>
        <w:bottom w:val="none" w:sz="0" w:space="0" w:color="auto"/>
        <w:right w:val="none" w:sz="0" w:space="0" w:color="auto"/>
      </w:divBdr>
    </w:div>
    <w:div w:id="1232084023">
      <w:bodyDiv w:val="1"/>
      <w:marLeft w:val="0"/>
      <w:marRight w:val="0"/>
      <w:marTop w:val="0"/>
      <w:marBottom w:val="0"/>
      <w:divBdr>
        <w:top w:val="none" w:sz="0" w:space="0" w:color="auto"/>
        <w:left w:val="none" w:sz="0" w:space="0" w:color="auto"/>
        <w:bottom w:val="none" w:sz="0" w:space="0" w:color="auto"/>
        <w:right w:val="none" w:sz="0" w:space="0" w:color="auto"/>
      </w:divBdr>
    </w:div>
    <w:div w:id="1922636338">
      <w:bodyDiv w:val="1"/>
      <w:marLeft w:val="0"/>
      <w:marRight w:val="0"/>
      <w:marTop w:val="0"/>
      <w:marBottom w:val="0"/>
      <w:divBdr>
        <w:top w:val="none" w:sz="0" w:space="0" w:color="auto"/>
        <w:left w:val="none" w:sz="0" w:space="0" w:color="auto"/>
        <w:bottom w:val="none" w:sz="0" w:space="0" w:color="auto"/>
        <w:right w:val="none" w:sz="0" w:space="0" w:color="auto"/>
      </w:divBdr>
    </w:div>
    <w:div w:id="2003195537">
      <w:bodyDiv w:val="1"/>
      <w:marLeft w:val="0"/>
      <w:marRight w:val="0"/>
      <w:marTop w:val="0"/>
      <w:marBottom w:val="0"/>
      <w:divBdr>
        <w:top w:val="none" w:sz="0" w:space="0" w:color="auto"/>
        <w:left w:val="none" w:sz="0" w:space="0" w:color="auto"/>
        <w:bottom w:val="none" w:sz="0" w:space="0" w:color="auto"/>
        <w:right w:val="none" w:sz="0" w:space="0" w:color="auto"/>
      </w:divBdr>
    </w:div>
    <w:div w:id="204564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tat.gov.pl/obszary-tematyczne/podmioty-gospodarcze-wyniki-finansowe/przedsiebiorstwa-finansowe/dzialalnosc-przedsiebiorstw-windykacyjnych-w-2021-roku,19,5.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7ea89c-31bb-46cd-99d5-5faa0885279e">
      <Terms xmlns="http://schemas.microsoft.com/office/infopath/2007/PartnerControls"/>
    </lcf76f155ced4ddcb4097134ff3c332f>
    <TaxCatchAll xmlns="df61b905-cae5-47b4-ab8a-46912c4965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F725A1054770149872C32D0D1329CF1" ma:contentTypeVersion="10" ma:contentTypeDescription="Utwórz nowy dokument." ma:contentTypeScope="" ma:versionID="fdeae8ec5eda6274e28e3ed1f524c61d">
  <xsd:schema xmlns:xsd="http://www.w3.org/2001/XMLSchema" xmlns:xs="http://www.w3.org/2001/XMLSchema" xmlns:p="http://schemas.microsoft.com/office/2006/metadata/properties" xmlns:ns2="de7ea89c-31bb-46cd-99d5-5faa0885279e" xmlns:ns3="df61b905-cae5-47b4-ab8a-46912c49657d" targetNamespace="http://schemas.microsoft.com/office/2006/metadata/properties" ma:root="true" ma:fieldsID="875dcfa114f34281d5cc4a59fd687f6c" ns2:_="" ns3:_="">
    <xsd:import namespace="de7ea89c-31bb-46cd-99d5-5faa0885279e"/>
    <xsd:import namespace="df61b905-cae5-47b4-ab8a-46912c4965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7ea89c-31bb-46cd-99d5-5faa088527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Tagi obrazów" ma:readOnly="false" ma:fieldId="{5cf76f15-5ced-4ddc-b409-7134ff3c332f}" ma:taxonomyMulti="true" ma:sspId="a2f6c6f8-f8c8-48bb-a465-faa54e84b416"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61b905-cae5-47b4-ab8a-46912c49657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3533741-961f-4c6c-976b-1cfd6e53e8cc}" ma:internalName="TaxCatchAll" ma:showField="CatchAllData" ma:web="df61b905-cae5-47b4-ab8a-46912c49657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82B0DE-524D-4CA9-847F-D68C55B1DF60}">
  <ds:schemaRefs>
    <ds:schemaRef ds:uri="http://schemas.microsoft.com/office/2006/metadata/properties"/>
    <ds:schemaRef ds:uri="http://schemas.microsoft.com/office/infopath/2007/PartnerControls"/>
    <ds:schemaRef ds:uri="de7ea89c-31bb-46cd-99d5-5faa0885279e"/>
    <ds:schemaRef ds:uri="df61b905-cae5-47b4-ab8a-46912c49657d"/>
  </ds:schemaRefs>
</ds:datastoreItem>
</file>

<file path=customXml/itemProps2.xml><?xml version="1.0" encoding="utf-8"?>
<ds:datastoreItem xmlns:ds="http://schemas.openxmlformats.org/officeDocument/2006/customXml" ds:itemID="{9E27822F-9954-4E94-A596-1D5CD7D693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7ea89c-31bb-46cd-99d5-5faa0885279e"/>
    <ds:schemaRef ds:uri="df61b905-cae5-47b4-ab8a-46912c4965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6FFB1A-0C10-458B-A7FA-4F4F0AE7C36A}">
  <ds:schemaRefs>
    <ds:schemaRef ds:uri="http://schemas.openxmlformats.org/officeDocument/2006/bibliography"/>
  </ds:schemaRefs>
</ds:datastoreItem>
</file>

<file path=customXml/itemProps4.xml><?xml version="1.0" encoding="utf-8"?>
<ds:datastoreItem xmlns:ds="http://schemas.openxmlformats.org/officeDocument/2006/customXml" ds:itemID="{526E1ADB-3E4C-4947-BED7-A1CFB852A6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49</Pages>
  <Words>19994</Words>
  <Characters>119967</Characters>
  <Application>Microsoft Office Word</Application>
  <DocSecurity>0</DocSecurity>
  <Lines>999</Lines>
  <Paragraphs>279</Paragraphs>
  <ScaleCrop>false</ScaleCrop>
  <HeadingPairs>
    <vt:vector size="2" baseType="variant">
      <vt:variant>
        <vt:lpstr>Tytuł</vt:lpstr>
      </vt:variant>
      <vt:variant>
        <vt:i4>1</vt:i4>
      </vt:variant>
    </vt:vector>
  </HeadingPairs>
  <TitlesOfParts>
    <vt:vector size="1" baseType="lpstr">
      <vt:lpstr>Uwagi do założeń projektu zmiany ustawy – Prawo telekomunikacyjne oraz niektórych innych ustaw – uzgodnienia międzyresortowe</vt:lpstr>
    </vt:vector>
  </TitlesOfParts>
  <Company>Oracle Corporation</Company>
  <LinksUpToDate>false</LinksUpToDate>
  <CharactersWithSpaces>139682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Uwagi do założeń projektu zmiany ustawy – Prawo telekomunikacyjne oraz niektórych innych ustaw – uzgodnienia międzyresortowe</dc:title>
  <dc:subject/>
  <dc:creator>pborucki</dc:creator>
  <cp:keywords/>
  <dc:description/>
  <cp:lastModifiedBy>Lewandowski Mariusz  (DPG)</cp:lastModifiedBy>
  <cp:revision>6</cp:revision>
  <cp:lastPrinted>2021-09-21T07:31:00Z</cp:lastPrinted>
  <dcterms:created xsi:type="dcterms:W3CDTF">2023-01-16T09:00:00Z</dcterms:created>
  <dcterms:modified xsi:type="dcterms:W3CDTF">2023-03-07T10:48:00Z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0x0101003F725A1054770149872C32D0D1329CF1</vt:lpwstr>
  </property>
  <property fmtid="{D5CDD505-2E9C-101B-9397-08002B2CF9AE}" pid="3" name="MediaServiceImageTags">
    <vt:lpwstr/>
  </property>
</Properties>
</file>